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AF4" w:rsidRPr="001B395D" w:rsidRDefault="003C1BCD" w:rsidP="009315F7">
      <w:pPr>
        <w:spacing w:after="160" w:line="259" w:lineRule="auto"/>
        <w:jc w:val="center"/>
        <w:rPr>
          <w:rFonts w:ascii="Tahoma" w:hAnsi="Tahoma" w:cs="Tahoma"/>
          <w:b/>
          <w:bCs/>
          <w:color w:val="2F5496" w:themeColor="accent1" w:themeShade="BF"/>
          <w:sz w:val="32"/>
          <w:szCs w:val="32"/>
        </w:rPr>
      </w:pPr>
      <w:r w:rsidRPr="001B395D">
        <w:rPr>
          <w:rFonts w:ascii="Tahoma" w:hAnsi="Tahoma" w:cs="Tahoma"/>
          <w:b/>
          <w:bCs/>
          <w:color w:val="2F5496" w:themeColor="accent1" w:themeShade="BF"/>
          <w:sz w:val="32"/>
          <w:szCs w:val="32"/>
        </w:rPr>
        <w:t>Смедеревска Паланка</w:t>
      </w:r>
    </w:p>
    <w:p w:rsidR="00556AF4" w:rsidRPr="001B395D" w:rsidRDefault="00556AF4" w:rsidP="009315F7">
      <w:pPr>
        <w:spacing w:after="160" w:line="259" w:lineRule="auto"/>
        <w:jc w:val="center"/>
        <w:rPr>
          <w:rFonts w:ascii="Tahoma" w:hAnsi="Tahoma" w:cs="Tahoma"/>
          <w:color w:val="2F5496" w:themeColor="accent1" w:themeShade="BF"/>
          <w:w w:val="110"/>
          <w:sz w:val="32"/>
          <w:szCs w:val="32"/>
        </w:rPr>
      </w:pPr>
      <w:r w:rsidRPr="001B395D">
        <w:rPr>
          <w:rStyle w:val="Heading1Char"/>
          <w:rFonts w:ascii="Tahoma" w:hAnsi="Tahoma" w:cs="Tahoma"/>
          <w:w w:val="110"/>
        </w:rPr>
        <w:t>Образовање</w:t>
      </w:r>
    </w:p>
    <w:p w:rsidR="00556AF4" w:rsidRPr="001B395D" w:rsidRDefault="00556AF4" w:rsidP="00556AF4"/>
    <w:p w:rsidR="00C012EA" w:rsidRPr="001B395D" w:rsidRDefault="00C012EA" w:rsidP="00556AF4">
      <w:pPr>
        <w:pStyle w:val="Heading1"/>
        <w:spacing w:after="240"/>
        <w:rPr>
          <w:rFonts w:ascii="Tahoma" w:hAnsi="Tahoma" w:cs="Tahoma"/>
          <w:b/>
          <w:bCs/>
          <w:color w:val="2F5496"/>
          <w:sz w:val="28"/>
          <w:szCs w:val="28"/>
        </w:rPr>
      </w:pPr>
      <w:r w:rsidRPr="001B395D">
        <w:rPr>
          <w:rFonts w:ascii="Tahoma" w:hAnsi="Tahoma" w:cs="Tahoma"/>
          <w:b/>
          <w:bCs/>
          <w:color w:val="2F5496"/>
          <w:sz w:val="28"/>
          <w:szCs w:val="28"/>
        </w:rPr>
        <w:t>Н</w:t>
      </w:r>
      <w:r w:rsidR="00556AF4" w:rsidRPr="001B395D">
        <w:rPr>
          <w:rFonts w:ascii="Tahoma" w:hAnsi="Tahoma" w:cs="Tahoma"/>
          <w:b/>
          <w:bCs/>
          <w:color w:val="2F5496"/>
          <w:sz w:val="28"/>
          <w:szCs w:val="28"/>
        </w:rPr>
        <w:t>адлежност и финансирање ЈЛС у сектору образовања</w:t>
      </w:r>
    </w:p>
    <w:p w:rsidR="00480DA3" w:rsidRPr="001B395D" w:rsidRDefault="00C012EA" w:rsidP="00CC7673">
      <w:pPr>
        <w:spacing w:after="160" w:line="259" w:lineRule="auto"/>
        <w:jc w:val="both"/>
        <w:rPr>
          <w:rFonts w:ascii="Tahoma" w:hAnsi="Tahoma" w:cs="Tahoma"/>
          <w:color w:val="333333"/>
          <w:sz w:val="22"/>
          <w:szCs w:val="22"/>
        </w:rPr>
      </w:pPr>
      <w:r w:rsidRPr="001B395D">
        <w:rPr>
          <w:rFonts w:ascii="Tahoma" w:eastAsia="Calibri" w:hAnsi="Tahoma" w:cs="Tahoma"/>
          <w:b/>
          <w:bCs/>
          <w:color w:val="2F5496" w:themeColor="accent1" w:themeShade="BF"/>
          <w:sz w:val="22"/>
          <w:szCs w:val="22"/>
        </w:rPr>
        <w:t>Предшколско васпитање и образовање (ПВО) је доминантно у мандату јединица локалне самоуправе (ЈЛС) док за основно и средње образовање ЈЛС финансира текуће одржавање школа</w:t>
      </w:r>
      <w:r w:rsidR="00CC4909" w:rsidRPr="001B395D">
        <w:rPr>
          <w:rStyle w:val="FootnoteReference"/>
          <w:rFonts w:ascii="Tahoma" w:eastAsia="Calibri" w:hAnsi="Tahoma" w:cs="Tahoma"/>
          <w:b/>
          <w:bCs/>
          <w:color w:val="2F5496" w:themeColor="accent1" w:themeShade="BF"/>
          <w:sz w:val="22"/>
          <w:szCs w:val="22"/>
        </w:rPr>
        <w:footnoteReference w:id="1"/>
      </w:r>
      <w:r w:rsidR="00F05400" w:rsidRPr="001B395D">
        <w:rPr>
          <w:rFonts w:ascii="Tahoma" w:eastAsia="Calibri" w:hAnsi="Tahoma" w:cs="Tahoma"/>
          <w:b/>
          <w:bCs/>
          <w:color w:val="2F5496" w:themeColor="accent1" w:themeShade="BF"/>
          <w:sz w:val="22"/>
          <w:szCs w:val="22"/>
        </w:rPr>
        <w:t>.</w:t>
      </w:r>
      <w:r w:rsidRPr="001B395D">
        <w:rPr>
          <w:rFonts w:ascii="Tahoma" w:hAnsi="Tahoma" w:cs="Tahoma"/>
          <w:color w:val="333333"/>
          <w:sz w:val="22"/>
          <w:szCs w:val="22"/>
        </w:rPr>
        <w:t>За све нивое образовања (предшколско, основно и средње) локални ниво финансира стручно усавршавање запослених, јубиларне награде, превоз запослених; затим превоз деце и њихових пратилаца ради похађања припремног предшколског програма (ППП) на удаљености већој од два километра и ученика основне школе на удаљености већој од четири километра од седишта школе; превоз, смештај и исхрану деце и ученика са сметњама у развоју, без обзира на удаљеност места становања од школе; превоз ученика на републичка и међународна такмичења; заштиту и безбедност деце и ученика и капиталне издатке</w:t>
      </w:r>
      <w:r w:rsidR="00A81258" w:rsidRPr="001B395D">
        <w:rPr>
          <w:rStyle w:val="FootnoteReference"/>
          <w:rFonts w:ascii="Tahoma" w:hAnsi="Tahoma" w:cs="Tahoma"/>
          <w:sz w:val="22"/>
          <w:szCs w:val="22"/>
        </w:rPr>
        <w:footnoteReference w:id="2"/>
      </w:r>
      <w:r w:rsidR="00A81258" w:rsidRPr="001B395D">
        <w:rPr>
          <w:rFonts w:ascii="Tahoma" w:hAnsi="Tahoma" w:cs="Tahoma"/>
          <w:sz w:val="22"/>
          <w:szCs w:val="22"/>
        </w:rPr>
        <w:t>.</w:t>
      </w:r>
    </w:p>
    <w:p w:rsidR="00100E03" w:rsidRPr="001B395D" w:rsidRDefault="00C012EA" w:rsidP="00CC7673">
      <w:pPr>
        <w:pStyle w:val="FootnoteText"/>
        <w:spacing w:after="160" w:line="259" w:lineRule="auto"/>
        <w:jc w:val="both"/>
        <w:rPr>
          <w:rFonts w:ascii="Tahoma" w:hAnsi="Tahoma" w:cs="Tahoma"/>
          <w:sz w:val="22"/>
          <w:szCs w:val="22"/>
        </w:rPr>
      </w:pPr>
      <w:r w:rsidRPr="001B395D">
        <w:rPr>
          <w:rFonts w:ascii="Tahoma" w:hAnsi="Tahoma" w:cs="Tahoma"/>
          <w:sz w:val="22"/>
          <w:szCs w:val="22"/>
        </w:rPr>
        <w:t xml:space="preserve">Финансирање ПВО је регулисано тако да локалне самоуправе финансирају до 80% од ‘економске цене’ по детету, а </w:t>
      </w:r>
      <w:r w:rsidR="00C212B6" w:rsidRPr="001B395D">
        <w:rPr>
          <w:rFonts w:ascii="Tahoma" w:hAnsi="Tahoma" w:cs="Tahoma"/>
          <w:sz w:val="22"/>
          <w:szCs w:val="22"/>
        </w:rPr>
        <w:t>родитељи преосталих 20% од цене</w:t>
      </w:r>
      <w:r w:rsidRPr="001B395D">
        <w:rPr>
          <w:rFonts w:ascii="Tahoma" w:hAnsi="Tahoma" w:cs="Tahoma"/>
          <w:sz w:val="22"/>
          <w:szCs w:val="22"/>
        </w:rPr>
        <w:t>, од чега се изузимају деца без родитељског старања, деца са сметњама у развоју и инвалидитетом и деца из материјално угрожених</w:t>
      </w:r>
      <w:r w:rsidR="006C2975">
        <w:rPr>
          <w:rFonts w:ascii="Tahoma" w:hAnsi="Tahoma" w:cs="Tahoma"/>
          <w:sz w:val="22"/>
          <w:szCs w:val="22"/>
        </w:rPr>
        <w:t xml:space="preserve"> </w:t>
      </w:r>
      <w:r w:rsidRPr="001B395D">
        <w:rPr>
          <w:rFonts w:ascii="Tahoma" w:hAnsi="Tahoma" w:cs="Tahoma"/>
          <w:sz w:val="22"/>
          <w:szCs w:val="22"/>
        </w:rPr>
        <w:t>породица</w:t>
      </w:r>
      <w:r w:rsidR="00480DA3" w:rsidRPr="001B395D">
        <w:rPr>
          <w:rStyle w:val="FootnoteReference"/>
          <w:rFonts w:ascii="Tahoma" w:hAnsi="Tahoma" w:cs="Tahoma"/>
          <w:sz w:val="22"/>
          <w:szCs w:val="22"/>
        </w:rPr>
        <w:footnoteReference w:id="3"/>
      </w:r>
      <w:r w:rsidR="00AA247D" w:rsidRPr="001B395D">
        <w:rPr>
          <w:rFonts w:ascii="Tahoma" w:hAnsi="Tahoma" w:cs="Tahoma"/>
          <w:sz w:val="22"/>
          <w:szCs w:val="22"/>
        </w:rPr>
        <w:t xml:space="preserve">. </w:t>
      </w:r>
      <w:r w:rsidRPr="001B395D">
        <w:rPr>
          <w:rFonts w:ascii="Tahoma" w:hAnsi="Tahoma" w:cs="Tahoma"/>
          <w:sz w:val="22"/>
          <w:szCs w:val="22"/>
        </w:rPr>
        <w:t>За децу без родитељског старања, децу са сметњама у развоју и децу корисника НСП, учешће од 20% се покрива са националног нивоа (Министарство за рад, запошљавање, социјална и борачка питања), а за децу из материјално угрожених породица према критеријумима Ј</w:t>
      </w:r>
      <w:r w:rsidR="006003EE">
        <w:rPr>
          <w:rFonts w:ascii="Tahoma" w:hAnsi="Tahoma" w:cs="Tahoma"/>
          <w:sz w:val="22"/>
          <w:szCs w:val="22"/>
        </w:rPr>
        <w:t>ЛС</w:t>
      </w:r>
      <w:r w:rsidRPr="001B395D">
        <w:rPr>
          <w:rFonts w:ascii="Tahoma" w:hAnsi="Tahoma" w:cs="Tahoma"/>
          <w:sz w:val="22"/>
          <w:szCs w:val="22"/>
        </w:rPr>
        <w:t xml:space="preserve"> ову партиципацију плаћа сама ЈЛС. Са националног нивоа финансиран је и четворосатни ППП</w:t>
      </w:r>
      <w:r w:rsidR="006003EE">
        <w:rPr>
          <w:rFonts w:ascii="Tahoma" w:hAnsi="Tahoma" w:cs="Tahoma"/>
          <w:sz w:val="22"/>
          <w:szCs w:val="22"/>
        </w:rPr>
        <w:t>,</w:t>
      </w:r>
      <w:r w:rsidRPr="001B395D">
        <w:rPr>
          <w:rFonts w:ascii="Tahoma" w:hAnsi="Tahoma" w:cs="Tahoma"/>
          <w:sz w:val="22"/>
          <w:szCs w:val="22"/>
        </w:rPr>
        <w:t xml:space="preserve"> али само на нивоу зарада за васпитаче који пружају тај програм.</w:t>
      </w:r>
    </w:p>
    <w:p w:rsidR="00100E03" w:rsidRPr="001B395D" w:rsidRDefault="002A62CA" w:rsidP="00CC7673">
      <w:pPr>
        <w:spacing w:after="160" w:line="259" w:lineRule="auto"/>
        <w:jc w:val="both"/>
        <w:rPr>
          <w:rFonts w:ascii="Tahoma" w:hAnsi="Tahoma" w:cs="Tahoma"/>
          <w:sz w:val="22"/>
          <w:szCs w:val="22"/>
          <w:shd w:val="clear" w:color="auto" w:fill="FFFFFF"/>
        </w:rPr>
      </w:pPr>
      <w:r w:rsidRPr="001B395D">
        <w:rPr>
          <w:rFonts w:ascii="Tahoma" w:hAnsi="Tahoma" w:cs="Tahoma"/>
          <w:sz w:val="22"/>
          <w:szCs w:val="22"/>
          <w:shd w:val="clear" w:color="auto" w:fill="FFFFFF"/>
        </w:rPr>
        <w:t>За основно и средње образовање јединице ЈЛС обезбеђују средства за материјалне трошкове рада. Према Правилнику о критеријумима и стандардима за финансирање установе која обавља делатност основног образовања и</w:t>
      </w:r>
      <w:r w:rsidR="006C2975">
        <w:rPr>
          <w:rFonts w:ascii="Tahoma" w:hAnsi="Tahoma" w:cs="Tahoma"/>
          <w:sz w:val="22"/>
          <w:szCs w:val="22"/>
          <w:shd w:val="clear" w:color="auto" w:fill="FFFFFF"/>
        </w:rPr>
        <w:t xml:space="preserve"> </w:t>
      </w:r>
      <w:r w:rsidRPr="001B395D">
        <w:rPr>
          <w:rFonts w:ascii="Tahoma" w:hAnsi="Tahoma" w:cs="Tahoma"/>
          <w:sz w:val="22"/>
          <w:szCs w:val="22"/>
        </w:rPr>
        <w:t>васпитања</w:t>
      </w:r>
      <w:r w:rsidR="00100E03" w:rsidRPr="001B395D">
        <w:rPr>
          <w:rStyle w:val="FootnoteReference"/>
          <w:rFonts w:ascii="Tahoma" w:hAnsi="Tahoma" w:cs="Tahoma"/>
          <w:sz w:val="22"/>
          <w:szCs w:val="22"/>
        </w:rPr>
        <w:footnoteReference w:id="4"/>
      </w:r>
      <w:r w:rsidRPr="001B395D">
        <w:rPr>
          <w:rFonts w:ascii="Tahoma" w:hAnsi="Tahoma" w:cs="Tahoma"/>
          <w:sz w:val="22"/>
          <w:szCs w:val="22"/>
        </w:rPr>
        <w:t xml:space="preserve">други текући расходи (материјални трошкови рада) укључују материјалне трошкове наставе у износу 2,5% бруто плата запослених, трошкове електричне енергије, трошкове воде, грејања, одржавања хигијене, изношења смећа. Према Правилнику о критеријумима и стандардима за финансирање установе која обавља делатност средњег образовања и васпитања, материјални трошкови укључују средства за материјалне трошкове наставе који се утврђују у висини од 5%, а за стручне школе које имају сопствене радионице за практичну наставу </w:t>
      </w:r>
      <w:r w:rsidRPr="001B395D">
        <w:rPr>
          <w:rFonts w:ascii="Tahoma" w:hAnsi="Tahoma" w:cs="Tahoma"/>
          <w:sz w:val="22"/>
          <w:szCs w:val="22"/>
        </w:rPr>
        <w:lastRenderedPageBreak/>
        <w:t>у износу од 7% у односу на средства за бруто плате запослених у школи (за неке струке и више, што је детаљно прописано Правилником) и трошкове режије.</w:t>
      </w:r>
    </w:p>
    <w:p w:rsidR="00F05400" w:rsidRPr="001B395D" w:rsidRDefault="002A62CA" w:rsidP="00CC7673">
      <w:pPr>
        <w:spacing w:after="160" w:line="259" w:lineRule="auto"/>
        <w:jc w:val="both"/>
        <w:rPr>
          <w:rFonts w:ascii="Tahoma" w:hAnsi="Tahoma" w:cs="Tahoma"/>
          <w:sz w:val="22"/>
          <w:szCs w:val="22"/>
        </w:rPr>
      </w:pPr>
      <w:r w:rsidRPr="001B395D">
        <w:rPr>
          <w:rFonts w:ascii="Tahoma" w:hAnsi="Tahoma" w:cs="Tahoma"/>
          <w:sz w:val="22"/>
          <w:szCs w:val="22"/>
        </w:rPr>
        <w:t>ЈЛС такође обезбеђују функционисање Интерресорних комисија (ИРК) и остваривање додатне подршке детету и ученику у складу са мишљењем ИРК, осим оних за које се средства обезбеђују у буџету Републике Србије</w:t>
      </w:r>
      <w:r w:rsidR="00F05400" w:rsidRPr="001B395D">
        <w:rPr>
          <w:rStyle w:val="FootnoteReference"/>
          <w:rFonts w:ascii="Tahoma" w:hAnsi="Tahoma" w:cs="Tahoma"/>
          <w:sz w:val="22"/>
          <w:szCs w:val="22"/>
        </w:rPr>
        <w:footnoteReference w:id="5"/>
      </w:r>
      <w:r w:rsidR="00F05400" w:rsidRPr="001B395D">
        <w:rPr>
          <w:rFonts w:ascii="Tahoma" w:hAnsi="Tahoma" w:cs="Tahoma"/>
          <w:sz w:val="22"/>
          <w:szCs w:val="22"/>
        </w:rPr>
        <w:t>.</w:t>
      </w:r>
    </w:p>
    <w:p w:rsidR="00F05400" w:rsidRPr="001B395D" w:rsidRDefault="002A62CA" w:rsidP="00CC7673">
      <w:pPr>
        <w:spacing w:after="160" w:line="259" w:lineRule="auto"/>
        <w:jc w:val="both"/>
        <w:rPr>
          <w:rFonts w:ascii="Tahoma" w:hAnsi="Tahoma" w:cs="Tahoma"/>
          <w:sz w:val="22"/>
          <w:szCs w:val="22"/>
        </w:rPr>
      </w:pPr>
      <w:r w:rsidRPr="001B395D">
        <w:rPr>
          <w:rFonts w:ascii="Tahoma" w:hAnsi="Tahoma" w:cs="Tahoma"/>
          <w:sz w:val="22"/>
          <w:szCs w:val="22"/>
        </w:rPr>
        <w:t>ЈЛС могу и да учествују у обезбеђењу средстава за виши квалитет образовања кроз финансирање установа у циљу повећања квалитета у области предшколског, основног и средњег образовања и васпитања, што подразумева побољшање услова образовања и васпитања у погледу простора, опреме и наставних средстава, за остваривање програма који нису основна делатност установе, за исхрану и помоћ деци иученицима</w:t>
      </w:r>
      <w:r w:rsidR="00B27536" w:rsidRPr="001B395D">
        <w:rPr>
          <w:rStyle w:val="FootnoteReference"/>
          <w:rFonts w:ascii="Tahoma" w:hAnsi="Tahoma" w:cs="Tahoma"/>
          <w:sz w:val="22"/>
          <w:szCs w:val="22"/>
        </w:rPr>
        <w:footnoteReference w:id="6"/>
      </w:r>
      <w:r w:rsidR="00F05400" w:rsidRPr="001B395D">
        <w:rPr>
          <w:rFonts w:ascii="Tahoma" w:hAnsi="Tahoma" w:cs="Tahoma"/>
          <w:sz w:val="22"/>
          <w:szCs w:val="22"/>
        </w:rPr>
        <w:t>.</w:t>
      </w:r>
    </w:p>
    <w:p w:rsidR="00F05400" w:rsidRPr="001B395D" w:rsidRDefault="002A62CA" w:rsidP="00CC7673">
      <w:pPr>
        <w:spacing w:after="160" w:line="259" w:lineRule="auto"/>
        <w:jc w:val="both"/>
        <w:rPr>
          <w:rFonts w:ascii="Tahoma" w:hAnsi="Tahoma" w:cs="Tahoma"/>
          <w:sz w:val="22"/>
          <w:szCs w:val="22"/>
        </w:rPr>
      </w:pPr>
      <w:r w:rsidRPr="001B395D">
        <w:rPr>
          <w:rFonts w:ascii="Tahoma" w:hAnsi="Tahoma" w:cs="Tahoma"/>
          <w:sz w:val="22"/>
          <w:szCs w:val="22"/>
        </w:rPr>
        <w:t>ЈЛС има и друге врло важне надлежности везане за образовање које јединица ЛС индиректно финансира. На пример, јединица локалне самоуправе води евиденцију и обавештава школу и родитеље, односно старатеље о деци која су стасала за упис у ППП и у основну школу</w:t>
      </w:r>
      <w:r w:rsidR="00F05400" w:rsidRPr="001B395D">
        <w:rPr>
          <w:rStyle w:val="FootnoteReference"/>
          <w:rFonts w:ascii="Tahoma" w:hAnsi="Tahoma" w:cs="Tahoma"/>
          <w:sz w:val="22"/>
          <w:szCs w:val="22"/>
        </w:rPr>
        <w:footnoteReference w:id="7"/>
      </w:r>
      <w:r w:rsidR="00F05400" w:rsidRPr="001B395D">
        <w:rPr>
          <w:rFonts w:ascii="Tahoma" w:hAnsi="Tahoma" w:cs="Tahoma"/>
          <w:sz w:val="22"/>
          <w:szCs w:val="22"/>
        </w:rPr>
        <w:t xml:space="preserve">. </w:t>
      </w:r>
    </w:p>
    <w:p w:rsidR="002A62CA" w:rsidRPr="001B395D" w:rsidRDefault="002A62CA" w:rsidP="00CC7673">
      <w:pPr>
        <w:spacing w:after="160" w:line="259" w:lineRule="auto"/>
        <w:jc w:val="both"/>
        <w:rPr>
          <w:rFonts w:ascii="Tahoma" w:hAnsi="Tahoma" w:cs="Tahoma"/>
          <w:sz w:val="22"/>
          <w:szCs w:val="22"/>
        </w:rPr>
      </w:pPr>
      <w:r w:rsidRPr="001B395D">
        <w:rPr>
          <w:rFonts w:ascii="Tahoma" w:hAnsi="Tahoma" w:cs="Tahoma"/>
          <w:b/>
          <w:color w:val="2F5496" w:themeColor="accent1" w:themeShade="BF"/>
          <w:sz w:val="22"/>
          <w:szCs w:val="22"/>
        </w:rPr>
        <w:t xml:space="preserve">Расходи за образовање у укупном буџету </w:t>
      </w:r>
      <w:r w:rsidR="00774677" w:rsidRPr="001B395D">
        <w:rPr>
          <w:rFonts w:ascii="Tahoma" w:hAnsi="Tahoma" w:cs="Tahoma"/>
          <w:b/>
          <w:color w:val="2F5496" w:themeColor="accent1" w:themeShade="BF"/>
          <w:sz w:val="22"/>
          <w:szCs w:val="22"/>
        </w:rPr>
        <w:t>Смедеревске Паланке</w:t>
      </w:r>
      <w:r w:rsidRPr="001B395D">
        <w:rPr>
          <w:rFonts w:ascii="Tahoma" w:hAnsi="Tahoma" w:cs="Tahoma"/>
          <w:b/>
          <w:color w:val="2F5496" w:themeColor="accent1" w:themeShade="BF"/>
          <w:sz w:val="22"/>
          <w:szCs w:val="22"/>
        </w:rPr>
        <w:t xml:space="preserve"> су</w:t>
      </w:r>
      <w:r w:rsidR="00A777DF" w:rsidRPr="001B395D">
        <w:rPr>
          <w:rFonts w:ascii="Tahoma" w:hAnsi="Tahoma" w:cs="Tahoma"/>
          <w:b/>
          <w:color w:val="2F5496" w:themeColor="accent1" w:themeShade="BF"/>
          <w:sz w:val="22"/>
          <w:szCs w:val="22"/>
        </w:rPr>
        <w:t xml:space="preserve"> eкстремно високи</w:t>
      </w:r>
      <w:r w:rsidR="006C2975">
        <w:rPr>
          <w:rFonts w:ascii="Tahoma" w:hAnsi="Tahoma" w:cs="Tahoma"/>
          <w:b/>
          <w:color w:val="2F5496" w:themeColor="accent1" w:themeShade="BF"/>
          <w:sz w:val="22"/>
          <w:szCs w:val="22"/>
        </w:rPr>
        <w:t xml:space="preserve"> </w:t>
      </w:r>
      <w:r w:rsidR="00F321F0" w:rsidRPr="001B395D">
        <w:rPr>
          <w:rFonts w:ascii="Tahoma" w:hAnsi="Tahoma" w:cs="Tahoma"/>
          <w:sz w:val="22"/>
          <w:szCs w:val="22"/>
        </w:rPr>
        <w:t>и то због веома високог учешћа расхода за предшколско образовање</w:t>
      </w:r>
      <w:r w:rsidR="00A777DF" w:rsidRPr="001B395D">
        <w:rPr>
          <w:rFonts w:ascii="Tahoma" w:hAnsi="Tahoma" w:cs="Tahoma"/>
          <w:sz w:val="22"/>
          <w:szCs w:val="22"/>
        </w:rPr>
        <w:t xml:space="preserve">. </w:t>
      </w:r>
      <w:r w:rsidR="00F321F0" w:rsidRPr="001B395D">
        <w:rPr>
          <w:rFonts w:ascii="Tahoma" w:hAnsi="Tahoma" w:cs="Tahoma"/>
          <w:sz w:val="22"/>
          <w:szCs w:val="22"/>
        </w:rPr>
        <w:t xml:space="preserve">У поређењу са просеком општина у Србији расходи у Смедеревској Паланци за ПВО су дупло виши – преко 20% у односу на 11 % колики је просек. </w:t>
      </w:r>
      <w:r w:rsidR="000B3EF6" w:rsidRPr="001B395D">
        <w:rPr>
          <w:rFonts w:ascii="Tahoma" w:hAnsi="Tahoma" w:cs="Tahoma"/>
          <w:sz w:val="22"/>
          <w:szCs w:val="22"/>
        </w:rPr>
        <w:t xml:space="preserve">Потребан је детаљнији увид да ли су ови текући расходи или је у питању једнократно повећање због капиталне инвестиције. </w:t>
      </w:r>
    </w:p>
    <w:p w:rsidR="006538C2" w:rsidRPr="001B395D" w:rsidRDefault="006538C2" w:rsidP="00746BB3">
      <w:pPr>
        <w:spacing w:line="259" w:lineRule="auto"/>
        <w:jc w:val="both"/>
        <w:rPr>
          <w:rFonts w:ascii="Tahoma" w:hAnsi="Tahoma" w:cs="Tahoma"/>
          <w:sz w:val="10"/>
          <w:szCs w:val="10"/>
        </w:rPr>
      </w:pPr>
    </w:p>
    <w:p w:rsidR="008A42F1" w:rsidRPr="001B395D" w:rsidRDefault="0020709B" w:rsidP="00746BB3">
      <w:pPr>
        <w:spacing w:after="80" w:line="259" w:lineRule="auto"/>
        <w:jc w:val="both"/>
        <w:rPr>
          <w:rFonts w:ascii="Tahoma" w:hAnsi="Tahoma" w:cs="Tahoma"/>
          <w:bCs/>
          <w:color w:val="2F5496"/>
          <w:sz w:val="22"/>
          <w:szCs w:val="22"/>
        </w:rPr>
      </w:pPr>
      <w:r w:rsidRPr="001B395D">
        <w:rPr>
          <w:rFonts w:ascii="Tahoma" w:hAnsi="Tahoma" w:cs="Tahoma"/>
          <w:bCs/>
          <w:color w:val="2F5496"/>
          <w:sz w:val="22"/>
          <w:szCs w:val="22"/>
        </w:rPr>
        <w:t>Taбелa 1. Расходи за образовање</w:t>
      </w:r>
      <w:r w:rsidR="0048681D" w:rsidRPr="001B395D">
        <w:rPr>
          <w:rFonts w:ascii="Tahoma" w:hAnsi="Tahoma" w:cs="Tahoma"/>
          <w:bCs/>
          <w:color w:val="2F5496"/>
          <w:sz w:val="22"/>
          <w:szCs w:val="22"/>
        </w:rPr>
        <w:t xml:space="preserve">општине </w:t>
      </w:r>
      <w:r w:rsidR="00774677" w:rsidRPr="001B395D">
        <w:rPr>
          <w:rFonts w:ascii="Tahoma" w:hAnsi="Tahoma" w:cs="Tahoma"/>
          <w:bCs/>
          <w:color w:val="2F5496"/>
          <w:sz w:val="22"/>
          <w:szCs w:val="22"/>
        </w:rPr>
        <w:t>Смедеревска Паланка</w:t>
      </w:r>
      <w:r w:rsidR="0048681D" w:rsidRPr="001B395D">
        <w:rPr>
          <w:rFonts w:ascii="Tahoma" w:hAnsi="Tahoma" w:cs="Tahoma"/>
          <w:bCs/>
          <w:color w:val="2F5496"/>
          <w:sz w:val="22"/>
          <w:szCs w:val="22"/>
        </w:rPr>
        <w:t xml:space="preserve">, </w:t>
      </w:r>
      <w:r w:rsidR="009F6B31" w:rsidRPr="001B395D">
        <w:rPr>
          <w:rFonts w:ascii="Tahoma" w:hAnsi="Tahoma" w:cs="Tahoma"/>
          <w:bCs/>
          <w:color w:val="2F5496"/>
          <w:sz w:val="22"/>
          <w:szCs w:val="22"/>
        </w:rPr>
        <w:t>укупно и по нивоима образовања (% oд укупног буџета</w:t>
      </w:r>
      <w:r w:rsidR="008A42F1" w:rsidRPr="001B395D">
        <w:rPr>
          <w:rFonts w:ascii="Tahoma" w:hAnsi="Tahoma" w:cs="Tahoma"/>
          <w:bCs/>
          <w:color w:val="2F5496"/>
          <w:sz w:val="22"/>
          <w:szCs w:val="22"/>
        </w:rPr>
        <w:t>)</w:t>
      </w:r>
    </w:p>
    <w:tbl>
      <w:tblPr>
        <w:tblStyle w:val="GridTable5Dark-Accent51"/>
        <w:tblpPr w:leftFromText="180" w:rightFromText="180" w:vertAnchor="text" w:horzAnchor="margin" w:tblpY="99"/>
        <w:tblW w:w="9198" w:type="dxa"/>
        <w:tblLayout w:type="fixed"/>
        <w:tblLook w:val="04A0" w:firstRow="1" w:lastRow="0" w:firstColumn="1" w:lastColumn="0" w:noHBand="0" w:noVBand="1"/>
      </w:tblPr>
      <w:tblGrid>
        <w:gridCol w:w="2410"/>
        <w:gridCol w:w="1118"/>
        <w:gridCol w:w="990"/>
        <w:gridCol w:w="1170"/>
        <w:gridCol w:w="1350"/>
        <w:gridCol w:w="2160"/>
      </w:tblGrid>
      <w:tr w:rsidR="00193A7F" w:rsidRPr="001B395D" w:rsidTr="00193A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right w:val="single" w:sz="4" w:space="0" w:color="FFFFFF" w:themeColor="background1"/>
            </w:tcBorders>
            <w:shd w:val="clear" w:color="auto" w:fill="2F5496" w:themeFill="accent1" w:themeFillShade="BF"/>
          </w:tcPr>
          <w:p w:rsidR="00193A7F" w:rsidRPr="001B395D" w:rsidRDefault="00193A7F" w:rsidP="00193A7F">
            <w:pPr>
              <w:rPr>
                <w:rFonts w:ascii="Tahoma" w:hAnsi="Tahoma" w:cs="Tahoma"/>
              </w:rPr>
            </w:pPr>
          </w:p>
        </w:tc>
        <w:tc>
          <w:tcPr>
            <w:tcW w:w="1118" w:type="dxa"/>
            <w:tcBorders>
              <w:left w:val="single" w:sz="4" w:space="0" w:color="FFFFFF" w:themeColor="background1"/>
              <w:right w:val="single" w:sz="4" w:space="0" w:color="FFFFFF" w:themeColor="background1"/>
            </w:tcBorders>
            <w:shd w:val="clear" w:color="auto" w:fill="2F5496" w:themeFill="accent1" w:themeFillShade="BF"/>
            <w:vAlign w:val="center"/>
          </w:tcPr>
          <w:p w:rsidR="00193A7F" w:rsidRPr="001B395D" w:rsidRDefault="00193A7F" w:rsidP="00193A7F">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1B395D">
              <w:rPr>
                <w:rFonts w:ascii="Tahoma" w:hAnsi="Tahoma" w:cs="Tahoma"/>
                <w:sz w:val="20"/>
                <w:szCs w:val="20"/>
              </w:rPr>
              <w:t>2019</w:t>
            </w:r>
          </w:p>
        </w:tc>
        <w:tc>
          <w:tcPr>
            <w:tcW w:w="990" w:type="dxa"/>
            <w:tcBorders>
              <w:left w:val="single" w:sz="4" w:space="0" w:color="FFFFFF" w:themeColor="background1"/>
              <w:right w:val="single" w:sz="4" w:space="0" w:color="FFFFFF" w:themeColor="background1"/>
            </w:tcBorders>
            <w:shd w:val="clear" w:color="auto" w:fill="2F5496" w:themeFill="accent1" w:themeFillShade="BF"/>
            <w:vAlign w:val="center"/>
          </w:tcPr>
          <w:p w:rsidR="00193A7F" w:rsidRPr="001B395D" w:rsidRDefault="00193A7F" w:rsidP="00193A7F">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1B395D">
              <w:rPr>
                <w:rFonts w:ascii="Tahoma" w:hAnsi="Tahoma" w:cs="Tahoma"/>
                <w:sz w:val="20"/>
                <w:szCs w:val="20"/>
              </w:rPr>
              <w:t>2020</w:t>
            </w:r>
          </w:p>
        </w:tc>
        <w:tc>
          <w:tcPr>
            <w:tcW w:w="1170" w:type="dxa"/>
            <w:tcBorders>
              <w:left w:val="single" w:sz="4" w:space="0" w:color="FFFFFF" w:themeColor="background1"/>
              <w:right w:val="single" w:sz="4" w:space="0" w:color="FFFFFF" w:themeColor="background1"/>
            </w:tcBorders>
            <w:shd w:val="clear" w:color="auto" w:fill="2F5496" w:themeFill="accent1" w:themeFillShade="BF"/>
            <w:vAlign w:val="center"/>
          </w:tcPr>
          <w:p w:rsidR="00193A7F" w:rsidRPr="001B395D" w:rsidRDefault="00193A7F" w:rsidP="00193A7F">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1B395D">
              <w:rPr>
                <w:rFonts w:ascii="Tahoma" w:hAnsi="Tahoma" w:cs="Tahoma"/>
                <w:sz w:val="20"/>
                <w:szCs w:val="20"/>
              </w:rPr>
              <w:t>2021</w:t>
            </w:r>
          </w:p>
        </w:tc>
        <w:tc>
          <w:tcPr>
            <w:tcW w:w="1350" w:type="dxa"/>
            <w:tcBorders>
              <w:left w:val="single" w:sz="4" w:space="0" w:color="FFFFFF" w:themeColor="background1"/>
              <w:right w:val="single" w:sz="4" w:space="0" w:color="FFFFFF" w:themeColor="background1"/>
            </w:tcBorders>
            <w:shd w:val="clear" w:color="auto" w:fill="2F5496" w:themeFill="accent1" w:themeFillShade="BF"/>
            <w:vAlign w:val="center"/>
          </w:tcPr>
          <w:p w:rsidR="00193A7F" w:rsidRPr="001B395D" w:rsidRDefault="00193A7F" w:rsidP="00193A7F">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1B395D">
              <w:rPr>
                <w:rFonts w:ascii="Tahoma" w:hAnsi="Tahoma" w:cs="Tahoma"/>
                <w:sz w:val="18"/>
                <w:szCs w:val="18"/>
              </w:rPr>
              <w:t>Просек општине</w:t>
            </w:r>
          </w:p>
        </w:tc>
        <w:tc>
          <w:tcPr>
            <w:tcW w:w="2160" w:type="dxa"/>
            <w:tcBorders>
              <w:left w:val="single" w:sz="4" w:space="0" w:color="FFFFFF" w:themeColor="background1"/>
            </w:tcBorders>
            <w:shd w:val="clear" w:color="auto" w:fill="2F5496" w:themeFill="accent1" w:themeFillShade="BF"/>
            <w:vAlign w:val="center"/>
          </w:tcPr>
          <w:p w:rsidR="00193A7F" w:rsidRPr="001B395D" w:rsidRDefault="00193A7F" w:rsidP="00193A7F">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1B395D">
              <w:rPr>
                <w:rFonts w:ascii="Tahoma" w:hAnsi="Tahoma" w:cs="Tahoma"/>
                <w:sz w:val="18"/>
                <w:szCs w:val="18"/>
              </w:rPr>
              <w:t>Просек Србије (без БГ и НС)</w:t>
            </w:r>
          </w:p>
        </w:tc>
      </w:tr>
      <w:tr w:rsidR="00193A7F" w:rsidRPr="001B395D" w:rsidTr="00193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D9E2F3" w:themeFill="accent1" w:themeFillTint="33"/>
          </w:tcPr>
          <w:p w:rsidR="00193A7F" w:rsidRPr="001B395D" w:rsidRDefault="00193A7F" w:rsidP="00193A7F">
            <w:pPr>
              <w:rPr>
                <w:rFonts w:ascii="Tahoma" w:hAnsi="Tahoma" w:cs="Tahoma"/>
              </w:rPr>
            </w:pPr>
            <w:r w:rsidRPr="001B395D">
              <w:rPr>
                <w:rFonts w:ascii="Tahoma" w:hAnsi="Tahoma" w:cs="Tahoma"/>
                <w:color w:val="1F3864" w:themeColor="accent1" w:themeShade="80"/>
                <w:sz w:val="20"/>
                <w:szCs w:val="20"/>
              </w:rPr>
              <w:t xml:space="preserve">Предшколско </w:t>
            </w:r>
            <w:r w:rsidRPr="001B395D">
              <w:rPr>
                <w:rFonts w:ascii="Tahoma" w:hAnsi="Tahoma" w:cs="Tahoma"/>
                <w:b w:val="0"/>
                <w:bCs w:val="0"/>
                <w:color w:val="1F3864" w:themeColor="accent1" w:themeShade="80"/>
                <w:sz w:val="20"/>
                <w:szCs w:val="20"/>
              </w:rPr>
              <w:t>(911)</w:t>
            </w:r>
          </w:p>
        </w:tc>
        <w:tc>
          <w:tcPr>
            <w:tcW w:w="1118" w:type="dxa"/>
            <w:shd w:val="clear" w:color="auto" w:fill="D9E2F3" w:themeFill="accent1" w:themeFillTint="33"/>
            <w:vAlign w:val="center"/>
          </w:tcPr>
          <w:p w:rsidR="00193A7F" w:rsidRPr="001B395D" w:rsidRDefault="00193A7F" w:rsidP="00193A7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1B395D">
              <w:rPr>
                <w:rFonts w:ascii="Tahoma" w:hAnsi="Tahoma" w:cs="Tahoma"/>
                <w:sz w:val="20"/>
                <w:szCs w:val="20"/>
              </w:rPr>
              <w:t>/</w:t>
            </w:r>
          </w:p>
        </w:tc>
        <w:tc>
          <w:tcPr>
            <w:tcW w:w="990" w:type="dxa"/>
            <w:shd w:val="clear" w:color="auto" w:fill="D9E2F3" w:themeFill="accent1" w:themeFillTint="33"/>
            <w:vAlign w:val="center"/>
          </w:tcPr>
          <w:p w:rsidR="00193A7F" w:rsidRPr="001B395D" w:rsidRDefault="00193A7F" w:rsidP="00193A7F">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1B395D">
              <w:rPr>
                <w:rFonts w:ascii="Tahoma" w:hAnsi="Tahoma" w:cs="Tahoma"/>
                <w:sz w:val="20"/>
                <w:szCs w:val="20"/>
              </w:rPr>
              <w:t>20,34</w:t>
            </w:r>
          </w:p>
        </w:tc>
        <w:tc>
          <w:tcPr>
            <w:tcW w:w="1170" w:type="dxa"/>
            <w:shd w:val="clear" w:color="auto" w:fill="D9E2F3" w:themeFill="accent1" w:themeFillTint="33"/>
            <w:vAlign w:val="center"/>
          </w:tcPr>
          <w:p w:rsidR="00193A7F" w:rsidRPr="001B395D" w:rsidRDefault="00193A7F" w:rsidP="00193A7F">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1B395D">
              <w:rPr>
                <w:rFonts w:ascii="Tahoma" w:hAnsi="Tahoma" w:cs="Tahoma"/>
                <w:sz w:val="20"/>
                <w:szCs w:val="20"/>
              </w:rPr>
              <w:t>21,56</w:t>
            </w:r>
          </w:p>
        </w:tc>
        <w:tc>
          <w:tcPr>
            <w:tcW w:w="1350" w:type="dxa"/>
            <w:shd w:val="clear" w:color="auto" w:fill="D9E2F3" w:themeFill="accent1" w:themeFillTint="33"/>
            <w:vAlign w:val="center"/>
          </w:tcPr>
          <w:p w:rsidR="00193A7F" w:rsidRPr="001B395D" w:rsidRDefault="00193A7F" w:rsidP="00193A7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1B395D">
              <w:rPr>
                <w:rFonts w:ascii="Tahoma" w:hAnsi="Tahoma" w:cs="Tahoma"/>
                <w:sz w:val="20"/>
                <w:szCs w:val="20"/>
              </w:rPr>
              <w:t>11,0</w:t>
            </w:r>
          </w:p>
        </w:tc>
        <w:tc>
          <w:tcPr>
            <w:tcW w:w="2160" w:type="dxa"/>
            <w:shd w:val="clear" w:color="auto" w:fill="D9E2F3" w:themeFill="accent1" w:themeFillTint="33"/>
            <w:vAlign w:val="center"/>
          </w:tcPr>
          <w:p w:rsidR="00193A7F" w:rsidRPr="001B395D" w:rsidRDefault="00193A7F" w:rsidP="00193A7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1B395D">
              <w:rPr>
                <w:rFonts w:ascii="Tahoma" w:hAnsi="Tahoma" w:cs="Tahoma"/>
                <w:sz w:val="20"/>
                <w:szCs w:val="20"/>
              </w:rPr>
              <w:t>11,2</w:t>
            </w:r>
          </w:p>
        </w:tc>
      </w:tr>
      <w:tr w:rsidR="00193A7F" w:rsidRPr="001B395D" w:rsidTr="00193A7F">
        <w:tc>
          <w:tcPr>
            <w:cnfStyle w:val="001000000000" w:firstRow="0" w:lastRow="0" w:firstColumn="1" w:lastColumn="0" w:oddVBand="0" w:evenVBand="0" w:oddHBand="0" w:evenHBand="0" w:firstRowFirstColumn="0" w:firstRowLastColumn="0" w:lastRowFirstColumn="0" w:lastRowLastColumn="0"/>
            <w:tcW w:w="2410" w:type="dxa"/>
            <w:shd w:val="clear" w:color="auto" w:fill="B4C6E7" w:themeFill="accent1" w:themeFillTint="66"/>
          </w:tcPr>
          <w:p w:rsidR="00193A7F" w:rsidRPr="001B395D" w:rsidRDefault="00193A7F" w:rsidP="00193A7F">
            <w:pPr>
              <w:rPr>
                <w:rFonts w:ascii="Tahoma" w:hAnsi="Tahoma" w:cs="Tahoma"/>
              </w:rPr>
            </w:pPr>
            <w:r w:rsidRPr="001B395D">
              <w:rPr>
                <w:rFonts w:ascii="Tahoma" w:hAnsi="Tahoma" w:cs="Tahoma"/>
                <w:color w:val="1F3864" w:themeColor="accent1" w:themeShade="80"/>
                <w:sz w:val="20"/>
                <w:szCs w:val="20"/>
              </w:rPr>
              <w:t xml:space="preserve">Основно </w:t>
            </w:r>
            <w:r w:rsidRPr="001B395D">
              <w:rPr>
                <w:rFonts w:ascii="Tahoma" w:hAnsi="Tahoma" w:cs="Tahoma"/>
                <w:b w:val="0"/>
                <w:bCs w:val="0"/>
                <w:color w:val="1F3864" w:themeColor="accent1" w:themeShade="80"/>
                <w:sz w:val="20"/>
                <w:szCs w:val="20"/>
              </w:rPr>
              <w:t>(912)</w:t>
            </w:r>
          </w:p>
        </w:tc>
        <w:tc>
          <w:tcPr>
            <w:tcW w:w="1118" w:type="dxa"/>
            <w:shd w:val="clear" w:color="auto" w:fill="B4C6E7" w:themeFill="accent1" w:themeFillTint="66"/>
            <w:vAlign w:val="center"/>
          </w:tcPr>
          <w:p w:rsidR="00193A7F" w:rsidRPr="001B395D" w:rsidRDefault="00193A7F" w:rsidP="00193A7F">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B395D">
              <w:rPr>
                <w:rFonts w:ascii="Tahoma" w:hAnsi="Tahoma" w:cs="Tahoma"/>
                <w:sz w:val="20"/>
                <w:szCs w:val="20"/>
              </w:rPr>
              <w:t>/</w:t>
            </w:r>
          </w:p>
        </w:tc>
        <w:tc>
          <w:tcPr>
            <w:tcW w:w="990" w:type="dxa"/>
            <w:shd w:val="clear" w:color="auto" w:fill="B4C6E7" w:themeFill="accent1" w:themeFillTint="66"/>
            <w:vAlign w:val="center"/>
          </w:tcPr>
          <w:p w:rsidR="00193A7F" w:rsidRPr="001B395D" w:rsidRDefault="00193A7F" w:rsidP="00193A7F">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B395D">
              <w:rPr>
                <w:rFonts w:ascii="Tahoma" w:hAnsi="Tahoma" w:cs="Tahoma"/>
                <w:sz w:val="20"/>
                <w:szCs w:val="20"/>
              </w:rPr>
              <w:t>8,23</w:t>
            </w:r>
          </w:p>
        </w:tc>
        <w:tc>
          <w:tcPr>
            <w:tcW w:w="1170" w:type="dxa"/>
            <w:shd w:val="clear" w:color="auto" w:fill="B4C6E7" w:themeFill="accent1" w:themeFillTint="66"/>
            <w:vAlign w:val="center"/>
          </w:tcPr>
          <w:p w:rsidR="00193A7F" w:rsidRPr="001B395D" w:rsidRDefault="00193A7F" w:rsidP="00193A7F">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B395D">
              <w:rPr>
                <w:rFonts w:ascii="Tahoma" w:hAnsi="Tahoma" w:cs="Tahoma"/>
                <w:sz w:val="20"/>
                <w:szCs w:val="20"/>
              </w:rPr>
              <w:t>7,99</w:t>
            </w:r>
          </w:p>
        </w:tc>
        <w:tc>
          <w:tcPr>
            <w:tcW w:w="1350" w:type="dxa"/>
            <w:shd w:val="clear" w:color="auto" w:fill="B4C6E7" w:themeFill="accent1" w:themeFillTint="66"/>
          </w:tcPr>
          <w:p w:rsidR="00193A7F" w:rsidRPr="001B395D" w:rsidRDefault="00193A7F" w:rsidP="00193A7F">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B395D">
              <w:rPr>
                <w:rFonts w:ascii="Tahoma" w:hAnsi="Tahoma" w:cs="Tahoma"/>
                <w:sz w:val="20"/>
                <w:szCs w:val="20"/>
              </w:rPr>
              <w:t>6,3</w:t>
            </w:r>
          </w:p>
        </w:tc>
        <w:tc>
          <w:tcPr>
            <w:tcW w:w="2160" w:type="dxa"/>
            <w:shd w:val="clear" w:color="auto" w:fill="B4C6E7" w:themeFill="accent1" w:themeFillTint="66"/>
          </w:tcPr>
          <w:p w:rsidR="00193A7F" w:rsidRPr="001B395D" w:rsidRDefault="00193A7F" w:rsidP="00193A7F">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B395D">
              <w:rPr>
                <w:rFonts w:ascii="Tahoma" w:hAnsi="Tahoma" w:cs="Tahoma"/>
                <w:sz w:val="20"/>
                <w:szCs w:val="20"/>
              </w:rPr>
              <w:t>5,5</w:t>
            </w:r>
          </w:p>
        </w:tc>
      </w:tr>
      <w:tr w:rsidR="00193A7F" w:rsidRPr="001B395D" w:rsidTr="00193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D9E2F3" w:themeFill="accent1" w:themeFillTint="33"/>
          </w:tcPr>
          <w:p w:rsidR="00193A7F" w:rsidRPr="001B395D" w:rsidRDefault="00193A7F" w:rsidP="00193A7F">
            <w:pPr>
              <w:rPr>
                <w:rFonts w:ascii="Tahoma" w:hAnsi="Tahoma" w:cs="Tahoma"/>
              </w:rPr>
            </w:pPr>
            <w:r w:rsidRPr="001B395D">
              <w:rPr>
                <w:rFonts w:ascii="Tahoma" w:hAnsi="Tahoma" w:cs="Tahoma"/>
                <w:color w:val="1F3864" w:themeColor="accent1" w:themeShade="80"/>
                <w:sz w:val="20"/>
                <w:szCs w:val="20"/>
              </w:rPr>
              <w:t xml:space="preserve">Средње </w:t>
            </w:r>
            <w:r w:rsidRPr="001B395D">
              <w:rPr>
                <w:rFonts w:ascii="Tahoma" w:hAnsi="Tahoma" w:cs="Tahoma"/>
                <w:b w:val="0"/>
                <w:bCs w:val="0"/>
                <w:color w:val="1F3864" w:themeColor="accent1" w:themeShade="80"/>
                <w:sz w:val="20"/>
                <w:szCs w:val="20"/>
              </w:rPr>
              <w:t>(920)</w:t>
            </w:r>
          </w:p>
        </w:tc>
        <w:tc>
          <w:tcPr>
            <w:tcW w:w="1118" w:type="dxa"/>
            <w:shd w:val="clear" w:color="auto" w:fill="D9E2F3" w:themeFill="accent1" w:themeFillTint="33"/>
            <w:vAlign w:val="center"/>
          </w:tcPr>
          <w:p w:rsidR="00193A7F" w:rsidRPr="001B395D" w:rsidRDefault="00193A7F" w:rsidP="00193A7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1B395D">
              <w:rPr>
                <w:rFonts w:ascii="Tahoma" w:hAnsi="Tahoma" w:cs="Tahoma"/>
                <w:sz w:val="20"/>
                <w:szCs w:val="20"/>
              </w:rPr>
              <w:t>/</w:t>
            </w:r>
          </w:p>
        </w:tc>
        <w:tc>
          <w:tcPr>
            <w:tcW w:w="990" w:type="dxa"/>
            <w:shd w:val="clear" w:color="auto" w:fill="D9E2F3" w:themeFill="accent1" w:themeFillTint="33"/>
            <w:vAlign w:val="center"/>
          </w:tcPr>
          <w:p w:rsidR="00193A7F" w:rsidRPr="001B395D" w:rsidRDefault="00193A7F" w:rsidP="00193A7F">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1B395D">
              <w:rPr>
                <w:rFonts w:ascii="Tahoma" w:hAnsi="Tahoma" w:cs="Tahoma"/>
                <w:sz w:val="20"/>
                <w:szCs w:val="20"/>
              </w:rPr>
              <w:t>2,37</w:t>
            </w:r>
          </w:p>
        </w:tc>
        <w:tc>
          <w:tcPr>
            <w:tcW w:w="1170" w:type="dxa"/>
            <w:shd w:val="clear" w:color="auto" w:fill="D9E2F3" w:themeFill="accent1" w:themeFillTint="33"/>
            <w:vAlign w:val="center"/>
          </w:tcPr>
          <w:p w:rsidR="00193A7F" w:rsidRPr="001B395D" w:rsidRDefault="00193A7F" w:rsidP="00193A7F">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1B395D">
              <w:rPr>
                <w:rFonts w:ascii="Tahoma" w:hAnsi="Tahoma" w:cs="Tahoma"/>
                <w:sz w:val="20"/>
                <w:szCs w:val="20"/>
              </w:rPr>
              <w:t>2,03</w:t>
            </w:r>
          </w:p>
        </w:tc>
        <w:tc>
          <w:tcPr>
            <w:tcW w:w="1350" w:type="dxa"/>
            <w:shd w:val="clear" w:color="auto" w:fill="D9E2F3" w:themeFill="accent1" w:themeFillTint="33"/>
          </w:tcPr>
          <w:p w:rsidR="00193A7F" w:rsidRPr="001B395D" w:rsidRDefault="00193A7F" w:rsidP="00193A7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1B395D">
              <w:rPr>
                <w:rFonts w:ascii="Tahoma" w:hAnsi="Tahoma" w:cs="Tahoma"/>
                <w:sz w:val="20"/>
                <w:szCs w:val="20"/>
              </w:rPr>
              <w:t>1,8</w:t>
            </w:r>
          </w:p>
        </w:tc>
        <w:tc>
          <w:tcPr>
            <w:tcW w:w="2160" w:type="dxa"/>
            <w:shd w:val="clear" w:color="auto" w:fill="D9E2F3" w:themeFill="accent1" w:themeFillTint="33"/>
          </w:tcPr>
          <w:p w:rsidR="00193A7F" w:rsidRPr="001B395D" w:rsidRDefault="00193A7F" w:rsidP="00193A7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1B395D">
              <w:rPr>
                <w:rFonts w:ascii="Tahoma" w:hAnsi="Tahoma" w:cs="Tahoma"/>
                <w:sz w:val="20"/>
                <w:szCs w:val="20"/>
              </w:rPr>
              <w:t>2,0</w:t>
            </w:r>
          </w:p>
        </w:tc>
      </w:tr>
      <w:tr w:rsidR="00193A7F" w:rsidRPr="001B395D" w:rsidTr="00193A7F">
        <w:tc>
          <w:tcPr>
            <w:cnfStyle w:val="001000000000" w:firstRow="0" w:lastRow="0" w:firstColumn="1" w:lastColumn="0" w:oddVBand="0" w:evenVBand="0" w:oddHBand="0" w:evenHBand="0" w:firstRowFirstColumn="0" w:firstRowLastColumn="0" w:lastRowFirstColumn="0" w:lastRowLastColumn="0"/>
            <w:tcW w:w="2410" w:type="dxa"/>
            <w:shd w:val="clear" w:color="auto" w:fill="B4C6E7" w:themeFill="accent1" w:themeFillTint="66"/>
          </w:tcPr>
          <w:p w:rsidR="00193A7F" w:rsidRPr="001B395D" w:rsidRDefault="00193A7F" w:rsidP="00193A7F">
            <w:pPr>
              <w:rPr>
                <w:rFonts w:ascii="Tahoma" w:hAnsi="Tahoma" w:cs="Tahoma"/>
              </w:rPr>
            </w:pPr>
            <w:r w:rsidRPr="001B395D">
              <w:rPr>
                <w:rFonts w:ascii="Tahoma" w:hAnsi="Tahoma" w:cs="Tahoma"/>
                <w:color w:val="1F3864" w:themeColor="accent1" w:themeShade="80"/>
                <w:sz w:val="20"/>
                <w:szCs w:val="20"/>
              </w:rPr>
              <w:t xml:space="preserve">Неквалификовано на др, месту </w:t>
            </w:r>
            <w:r w:rsidRPr="001B395D">
              <w:rPr>
                <w:rFonts w:ascii="Tahoma" w:hAnsi="Tahoma" w:cs="Tahoma"/>
                <w:b w:val="0"/>
                <w:bCs w:val="0"/>
                <w:color w:val="1F3864" w:themeColor="accent1" w:themeShade="80"/>
                <w:sz w:val="20"/>
                <w:szCs w:val="20"/>
              </w:rPr>
              <w:t>(980)</w:t>
            </w:r>
          </w:p>
        </w:tc>
        <w:tc>
          <w:tcPr>
            <w:tcW w:w="1118" w:type="dxa"/>
            <w:shd w:val="clear" w:color="auto" w:fill="B4C6E7" w:themeFill="accent1" w:themeFillTint="66"/>
            <w:vAlign w:val="center"/>
          </w:tcPr>
          <w:p w:rsidR="00193A7F" w:rsidRPr="001B395D" w:rsidRDefault="00193A7F" w:rsidP="00193A7F">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B395D">
              <w:rPr>
                <w:rFonts w:ascii="Tahoma" w:hAnsi="Tahoma" w:cs="Tahoma"/>
                <w:sz w:val="20"/>
                <w:szCs w:val="20"/>
              </w:rPr>
              <w:t>/</w:t>
            </w:r>
          </w:p>
        </w:tc>
        <w:tc>
          <w:tcPr>
            <w:tcW w:w="990" w:type="dxa"/>
            <w:shd w:val="clear" w:color="auto" w:fill="B4C6E7" w:themeFill="accent1" w:themeFillTint="66"/>
            <w:vAlign w:val="center"/>
          </w:tcPr>
          <w:p w:rsidR="00193A7F" w:rsidRPr="001B395D" w:rsidRDefault="00193A7F" w:rsidP="00193A7F">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B395D">
              <w:rPr>
                <w:rFonts w:ascii="Tahoma" w:hAnsi="Tahoma" w:cs="Tahoma"/>
                <w:sz w:val="20"/>
                <w:szCs w:val="20"/>
              </w:rPr>
              <w:t>0</w:t>
            </w:r>
          </w:p>
        </w:tc>
        <w:tc>
          <w:tcPr>
            <w:tcW w:w="1170" w:type="dxa"/>
            <w:shd w:val="clear" w:color="auto" w:fill="B4C6E7" w:themeFill="accent1" w:themeFillTint="66"/>
            <w:vAlign w:val="center"/>
          </w:tcPr>
          <w:p w:rsidR="00193A7F" w:rsidRPr="001B395D" w:rsidRDefault="00193A7F" w:rsidP="00193A7F">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B395D">
              <w:rPr>
                <w:rFonts w:ascii="Tahoma" w:hAnsi="Tahoma" w:cs="Tahoma"/>
                <w:sz w:val="20"/>
                <w:szCs w:val="20"/>
              </w:rPr>
              <w:t>0</w:t>
            </w:r>
          </w:p>
        </w:tc>
        <w:tc>
          <w:tcPr>
            <w:tcW w:w="1350" w:type="dxa"/>
            <w:shd w:val="clear" w:color="auto" w:fill="B4C6E7" w:themeFill="accent1" w:themeFillTint="66"/>
            <w:vAlign w:val="center"/>
          </w:tcPr>
          <w:p w:rsidR="00193A7F" w:rsidRPr="001B395D" w:rsidRDefault="00193A7F" w:rsidP="00193A7F">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B395D">
              <w:rPr>
                <w:rFonts w:ascii="Tahoma" w:hAnsi="Tahoma" w:cs="Tahoma"/>
                <w:sz w:val="20"/>
                <w:szCs w:val="20"/>
              </w:rPr>
              <w:t>/</w:t>
            </w:r>
          </w:p>
        </w:tc>
        <w:tc>
          <w:tcPr>
            <w:tcW w:w="2160" w:type="dxa"/>
            <w:shd w:val="clear" w:color="auto" w:fill="B4C6E7" w:themeFill="accent1" w:themeFillTint="66"/>
            <w:vAlign w:val="center"/>
          </w:tcPr>
          <w:p w:rsidR="00193A7F" w:rsidRPr="001B395D" w:rsidRDefault="00193A7F" w:rsidP="00193A7F">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B395D">
              <w:rPr>
                <w:rFonts w:ascii="Tahoma" w:hAnsi="Tahoma" w:cs="Tahoma"/>
                <w:sz w:val="20"/>
                <w:szCs w:val="20"/>
              </w:rPr>
              <w:t>/</w:t>
            </w:r>
          </w:p>
        </w:tc>
      </w:tr>
      <w:tr w:rsidR="00193A7F" w:rsidRPr="001B395D" w:rsidTr="00193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2F5496" w:themeFill="accent1" w:themeFillShade="BF"/>
          </w:tcPr>
          <w:p w:rsidR="00193A7F" w:rsidRPr="001B395D" w:rsidRDefault="00193A7F" w:rsidP="00193A7F">
            <w:pPr>
              <w:rPr>
                <w:rFonts w:ascii="Tahoma" w:hAnsi="Tahoma" w:cs="Tahoma"/>
              </w:rPr>
            </w:pPr>
            <w:r w:rsidRPr="001B395D">
              <w:rPr>
                <w:rFonts w:ascii="Tahoma" w:hAnsi="Tahoma" w:cs="Tahoma"/>
                <w:sz w:val="20"/>
                <w:szCs w:val="20"/>
              </w:rPr>
              <w:t>Укупно образовање</w:t>
            </w:r>
          </w:p>
        </w:tc>
        <w:tc>
          <w:tcPr>
            <w:tcW w:w="1118" w:type="dxa"/>
            <w:shd w:val="clear" w:color="auto" w:fill="2F5496" w:themeFill="accent1" w:themeFillShade="BF"/>
            <w:vAlign w:val="center"/>
          </w:tcPr>
          <w:p w:rsidR="00193A7F" w:rsidRPr="001B395D" w:rsidRDefault="00193A7F" w:rsidP="00193A7F">
            <w:pPr>
              <w:jc w:val="center"/>
              <w:cnfStyle w:val="000000100000" w:firstRow="0" w:lastRow="0" w:firstColumn="0" w:lastColumn="0" w:oddVBand="0" w:evenVBand="0" w:oddHBand="1" w:evenHBand="0" w:firstRowFirstColumn="0" w:firstRowLastColumn="0" w:lastRowFirstColumn="0" w:lastRowLastColumn="0"/>
              <w:rPr>
                <w:rFonts w:ascii="Tahoma" w:hAnsi="Tahoma" w:cs="Tahoma"/>
                <w:b/>
                <w:bCs/>
                <w:color w:val="FFFFFF" w:themeColor="background1"/>
                <w:sz w:val="18"/>
                <w:szCs w:val="18"/>
              </w:rPr>
            </w:pPr>
            <w:r w:rsidRPr="001B395D">
              <w:rPr>
                <w:rFonts w:ascii="Tahoma" w:hAnsi="Tahoma" w:cs="Tahoma"/>
                <w:b/>
                <w:bCs/>
                <w:color w:val="FFFFFF" w:themeColor="background1"/>
                <w:sz w:val="18"/>
                <w:szCs w:val="18"/>
              </w:rPr>
              <w:t>/</w:t>
            </w:r>
          </w:p>
        </w:tc>
        <w:tc>
          <w:tcPr>
            <w:tcW w:w="990" w:type="dxa"/>
            <w:shd w:val="clear" w:color="auto" w:fill="2F5496" w:themeFill="accent1" w:themeFillShade="BF"/>
            <w:vAlign w:val="center"/>
          </w:tcPr>
          <w:p w:rsidR="00193A7F" w:rsidRPr="001B395D" w:rsidRDefault="00193A7F" w:rsidP="00193A7F">
            <w:pPr>
              <w:jc w:val="center"/>
              <w:cnfStyle w:val="000000100000" w:firstRow="0" w:lastRow="0" w:firstColumn="0" w:lastColumn="0" w:oddVBand="0" w:evenVBand="0" w:oddHBand="1" w:evenHBand="0" w:firstRowFirstColumn="0" w:firstRowLastColumn="0" w:lastRowFirstColumn="0" w:lastRowLastColumn="0"/>
              <w:rPr>
                <w:rFonts w:ascii="Tahoma" w:hAnsi="Tahoma" w:cs="Tahoma"/>
                <w:b/>
                <w:bCs/>
                <w:color w:val="FFFFFF" w:themeColor="background1"/>
                <w:sz w:val="18"/>
                <w:szCs w:val="18"/>
              </w:rPr>
            </w:pPr>
            <w:r w:rsidRPr="001B395D">
              <w:rPr>
                <w:rFonts w:ascii="Tahoma" w:hAnsi="Tahoma" w:cs="Tahoma"/>
                <w:b/>
                <w:bCs/>
                <w:color w:val="FFFFFF" w:themeColor="background1"/>
                <w:sz w:val="18"/>
                <w:szCs w:val="18"/>
              </w:rPr>
              <w:t>30,94</w:t>
            </w:r>
          </w:p>
        </w:tc>
        <w:tc>
          <w:tcPr>
            <w:tcW w:w="1170" w:type="dxa"/>
            <w:shd w:val="clear" w:color="auto" w:fill="2F5496" w:themeFill="accent1" w:themeFillShade="BF"/>
            <w:vAlign w:val="center"/>
          </w:tcPr>
          <w:p w:rsidR="00193A7F" w:rsidRPr="001B395D" w:rsidRDefault="00193A7F" w:rsidP="00193A7F">
            <w:pPr>
              <w:jc w:val="center"/>
              <w:cnfStyle w:val="000000100000" w:firstRow="0" w:lastRow="0" w:firstColumn="0" w:lastColumn="0" w:oddVBand="0" w:evenVBand="0" w:oddHBand="1" w:evenHBand="0" w:firstRowFirstColumn="0" w:firstRowLastColumn="0" w:lastRowFirstColumn="0" w:lastRowLastColumn="0"/>
              <w:rPr>
                <w:rFonts w:ascii="Tahoma" w:hAnsi="Tahoma" w:cs="Tahoma"/>
                <w:b/>
                <w:bCs/>
                <w:color w:val="FFFFFF" w:themeColor="background1"/>
                <w:sz w:val="18"/>
                <w:szCs w:val="18"/>
              </w:rPr>
            </w:pPr>
            <w:r w:rsidRPr="001B395D">
              <w:rPr>
                <w:rFonts w:ascii="Tahoma" w:hAnsi="Tahoma" w:cs="Tahoma"/>
                <w:b/>
                <w:bCs/>
                <w:color w:val="FFFFFF" w:themeColor="background1"/>
                <w:sz w:val="18"/>
                <w:szCs w:val="18"/>
              </w:rPr>
              <w:t>31.58</w:t>
            </w:r>
          </w:p>
        </w:tc>
        <w:tc>
          <w:tcPr>
            <w:tcW w:w="1350" w:type="dxa"/>
            <w:shd w:val="clear" w:color="auto" w:fill="2F5496" w:themeFill="accent1" w:themeFillShade="BF"/>
          </w:tcPr>
          <w:p w:rsidR="00193A7F" w:rsidRPr="001B395D" w:rsidRDefault="00193A7F" w:rsidP="00193A7F">
            <w:pPr>
              <w:jc w:val="center"/>
              <w:cnfStyle w:val="000000100000" w:firstRow="0" w:lastRow="0" w:firstColumn="0" w:lastColumn="0" w:oddVBand="0" w:evenVBand="0" w:oddHBand="1" w:evenHBand="0" w:firstRowFirstColumn="0" w:firstRowLastColumn="0" w:lastRowFirstColumn="0" w:lastRowLastColumn="0"/>
              <w:rPr>
                <w:rFonts w:ascii="Tahoma" w:hAnsi="Tahoma" w:cs="Tahoma"/>
                <w:b/>
                <w:color w:val="FFFFFF" w:themeColor="background1"/>
                <w:sz w:val="20"/>
                <w:szCs w:val="20"/>
              </w:rPr>
            </w:pPr>
            <w:r w:rsidRPr="001B395D">
              <w:rPr>
                <w:rFonts w:ascii="Tahoma" w:hAnsi="Tahoma" w:cs="Tahoma"/>
                <w:b/>
                <w:color w:val="FFFFFF" w:themeColor="background1"/>
                <w:sz w:val="20"/>
                <w:szCs w:val="20"/>
              </w:rPr>
              <w:t>19,1</w:t>
            </w:r>
          </w:p>
        </w:tc>
        <w:tc>
          <w:tcPr>
            <w:tcW w:w="2160" w:type="dxa"/>
            <w:shd w:val="clear" w:color="auto" w:fill="2F5496" w:themeFill="accent1" w:themeFillShade="BF"/>
          </w:tcPr>
          <w:p w:rsidR="00193A7F" w:rsidRPr="001B395D" w:rsidRDefault="00193A7F" w:rsidP="00193A7F">
            <w:pPr>
              <w:jc w:val="center"/>
              <w:cnfStyle w:val="000000100000" w:firstRow="0" w:lastRow="0" w:firstColumn="0" w:lastColumn="0" w:oddVBand="0" w:evenVBand="0" w:oddHBand="1" w:evenHBand="0" w:firstRowFirstColumn="0" w:firstRowLastColumn="0" w:lastRowFirstColumn="0" w:lastRowLastColumn="0"/>
              <w:rPr>
                <w:rFonts w:ascii="Tahoma" w:hAnsi="Tahoma" w:cs="Tahoma"/>
                <w:b/>
                <w:color w:val="FFFFFF" w:themeColor="background1"/>
                <w:sz w:val="20"/>
                <w:szCs w:val="20"/>
              </w:rPr>
            </w:pPr>
            <w:r w:rsidRPr="001B395D">
              <w:rPr>
                <w:rFonts w:ascii="Tahoma" w:hAnsi="Tahoma" w:cs="Tahoma"/>
                <w:b/>
                <w:color w:val="FFFFFF" w:themeColor="background1"/>
                <w:sz w:val="20"/>
                <w:szCs w:val="20"/>
              </w:rPr>
              <w:t>18,7</w:t>
            </w:r>
          </w:p>
        </w:tc>
      </w:tr>
    </w:tbl>
    <w:p w:rsidR="00C212B6" w:rsidRPr="001B395D" w:rsidRDefault="0020709B" w:rsidP="00746BB3">
      <w:pPr>
        <w:spacing w:line="259" w:lineRule="auto"/>
        <w:rPr>
          <w:rFonts w:ascii="Tahoma" w:hAnsi="Tahoma" w:cs="Tahoma"/>
          <w:sz w:val="18"/>
          <w:szCs w:val="18"/>
        </w:rPr>
      </w:pPr>
      <w:r w:rsidRPr="001B395D">
        <w:rPr>
          <w:rFonts w:ascii="Tahoma" w:hAnsi="Tahoma" w:cs="Tahoma"/>
          <w:sz w:val="18"/>
          <w:szCs w:val="18"/>
        </w:rPr>
        <w:t>Извор</w:t>
      </w:r>
      <w:r w:rsidR="008A42F1" w:rsidRPr="001B395D">
        <w:rPr>
          <w:rFonts w:ascii="Tahoma" w:hAnsi="Tahoma" w:cs="Tahoma"/>
          <w:sz w:val="18"/>
          <w:szCs w:val="18"/>
        </w:rPr>
        <w:t xml:space="preserve">: </w:t>
      </w:r>
      <w:r w:rsidR="006538C2" w:rsidRPr="001B395D">
        <w:rPr>
          <w:rFonts w:ascii="Tahoma" w:hAnsi="Tahoma" w:cs="Tahoma"/>
          <w:sz w:val="18"/>
          <w:szCs w:val="18"/>
        </w:rPr>
        <w:t>Стална конференција градова и општина</w:t>
      </w:r>
    </w:p>
    <w:p w:rsidR="00CC7673" w:rsidRPr="001B395D" w:rsidRDefault="00CC7673" w:rsidP="00746BB3">
      <w:pPr>
        <w:spacing w:after="160" w:line="259" w:lineRule="auto"/>
        <w:jc w:val="both"/>
        <w:rPr>
          <w:rFonts w:ascii="Tahoma" w:hAnsi="Tahoma" w:cs="Tahoma"/>
          <w:sz w:val="22"/>
          <w:szCs w:val="22"/>
        </w:rPr>
      </w:pPr>
    </w:p>
    <w:p w:rsidR="00F321F0" w:rsidRPr="001B395D" w:rsidRDefault="00F321F0" w:rsidP="00746BB3">
      <w:pPr>
        <w:spacing w:after="160" w:line="259" w:lineRule="auto"/>
        <w:jc w:val="both"/>
        <w:rPr>
          <w:rFonts w:ascii="Tahoma" w:hAnsi="Tahoma" w:cs="Tahoma"/>
          <w:sz w:val="22"/>
          <w:szCs w:val="22"/>
        </w:rPr>
      </w:pPr>
    </w:p>
    <w:p w:rsidR="00A73290" w:rsidRPr="001B395D" w:rsidRDefault="00A73290" w:rsidP="006538C2">
      <w:pPr>
        <w:pStyle w:val="Heading1"/>
        <w:spacing w:after="240"/>
        <w:rPr>
          <w:rFonts w:ascii="Tahoma" w:hAnsi="Tahoma" w:cs="Tahoma"/>
          <w:b/>
          <w:bCs/>
          <w:color w:val="2F5496"/>
          <w:sz w:val="28"/>
          <w:szCs w:val="28"/>
        </w:rPr>
      </w:pPr>
      <w:r w:rsidRPr="001B395D">
        <w:rPr>
          <w:rFonts w:ascii="Tahoma" w:hAnsi="Tahoma" w:cs="Tahoma"/>
          <w:b/>
          <w:bCs/>
          <w:color w:val="2F5496"/>
          <w:sz w:val="28"/>
          <w:szCs w:val="28"/>
        </w:rPr>
        <w:lastRenderedPageBreak/>
        <w:t>С</w:t>
      </w:r>
      <w:r w:rsidR="006538C2" w:rsidRPr="001B395D">
        <w:rPr>
          <w:rFonts w:ascii="Tahoma" w:hAnsi="Tahoma" w:cs="Tahoma"/>
          <w:b/>
          <w:bCs/>
          <w:color w:val="2F5496"/>
          <w:sz w:val="28"/>
          <w:szCs w:val="28"/>
        </w:rPr>
        <w:t>тратешка оријентација и исходи у образовању</w:t>
      </w:r>
    </w:p>
    <w:p w:rsidR="001069AF" w:rsidRPr="001B395D" w:rsidRDefault="00A73290" w:rsidP="00F42E4A">
      <w:pPr>
        <w:pStyle w:val="Heading2"/>
        <w:spacing w:before="160" w:after="160" w:line="259" w:lineRule="auto"/>
        <w:rPr>
          <w:rFonts w:ascii="Tahoma" w:hAnsi="Tahoma" w:cs="Tahoma"/>
          <w:b/>
          <w:bCs/>
          <w:sz w:val="24"/>
          <w:szCs w:val="24"/>
        </w:rPr>
      </w:pPr>
      <w:r w:rsidRPr="001B395D">
        <w:rPr>
          <w:rFonts w:ascii="Tahoma" w:hAnsi="Tahoma" w:cs="Tahoma"/>
          <w:b/>
          <w:bCs/>
          <w:color w:val="2F5496"/>
          <w:sz w:val="24"/>
          <w:szCs w:val="24"/>
        </w:rPr>
        <w:t>Предшколско образовање</w:t>
      </w:r>
    </w:p>
    <w:p w:rsidR="00AB4D59" w:rsidRPr="001B395D" w:rsidRDefault="00AB4D59" w:rsidP="00AB4D59">
      <w:pPr>
        <w:shd w:val="clear" w:color="auto" w:fill="D9E2F3" w:themeFill="accent1" w:themeFillTint="33"/>
        <w:spacing w:after="160" w:line="259" w:lineRule="auto"/>
        <w:rPr>
          <w:rFonts w:ascii="Tahoma" w:hAnsi="Tahoma" w:cs="Tahoma"/>
          <w:b/>
          <w:bCs/>
          <w:color w:val="1F3864" w:themeColor="accent1" w:themeShade="80"/>
          <w:sz w:val="22"/>
          <w:szCs w:val="22"/>
        </w:rPr>
      </w:pPr>
      <w:r w:rsidRPr="001B395D">
        <w:rPr>
          <w:rFonts w:ascii="Tahoma" w:hAnsi="Tahoma" w:cs="Tahoma"/>
          <w:b/>
          <w:bCs/>
          <w:color w:val="1F3864" w:themeColor="accent1" w:themeShade="80"/>
          <w:sz w:val="22"/>
          <w:szCs w:val="22"/>
        </w:rPr>
        <w:t xml:space="preserve">Оквир 1. Важност предшколског образовања и васпитања </w:t>
      </w:r>
    </w:p>
    <w:p w:rsidR="00AB4D59" w:rsidRPr="001B395D" w:rsidRDefault="00AB4D59" w:rsidP="00AB4D59">
      <w:pPr>
        <w:shd w:val="clear" w:color="auto" w:fill="D9E2F3" w:themeFill="accent1" w:themeFillTint="33"/>
        <w:spacing w:after="160" w:line="259" w:lineRule="auto"/>
        <w:jc w:val="both"/>
        <w:rPr>
          <w:rFonts w:ascii="Tahoma" w:hAnsi="Tahoma" w:cs="Tahoma"/>
          <w:sz w:val="22"/>
          <w:szCs w:val="22"/>
        </w:rPr>
      </w:pPr>
      <w:r w:rsidRPr="001B395D">
        <w:rPr>
          <w:rFonts w:ascii="Tahoma" w:hAnsi="Tahoma" w:cs="Tahoma"/>
          <w:sz w:val="22"/>
          <w:szCs w:val="22"/>
        </w:rPr>
        <w:t>Поред традиционалне и препознатљиве улоге „чување” деце, последњих година се све више указује на веома важну улогу предшколског образовање и васпитања која подстиче рани развој и образовање деце. Међутим, Стратегија развоја образовања и васпитања до 2030</w:t>
      </w:r>
      <w:r w:rsidRPr="001B395D">
        <w:rPr>
          <w:rStyle w:val="FootnoteReference"/>
          <w:rFonts w:ascii="Tahoma" w:hAnsi="Tahoma" w:cs="Tahoma"/>
          <w:sz w:val="22"/>
          <w:szCs w:val="22"/>
        </w:rPr>
        <w:footnoteReference w:id="8"/>
      </w:r>
      <w:r w:rsidRPr="001B395D">
        <w:rPr>
          <w:rFonts w:ascii="Tahoma" w:hAnsi="Tahoma" w:cs="Tahoma"/>
          <w:sz w:val="22"/>
          <w:szCs w:val="22"/>
        </w:rPr>
        <w:t xml:space="preserve"> констатује да је свест грађана о васпитној и образовној улози ПВО недовољно развијена, јер се ПВО још увек у већој мери посматра као „систем за чување деце“ предшколског узраста него као део васпитно-образовног система РС.</w:t>
      </w:r>
    </w:p>
    <w:p w:rsidR="00AB4D59" w:rsidRPr="001B395D" w:rsidRDefault="00AB4D59" w:rsidP="00AB4D59">
      <w:pPr>
        <w:shd w:val="clear" w:color="auto" w:fill="D9E2F3" w:themeFill="accent1" w:themeFillTint="33"/>
        <w:spacing w:after="160" w:line="259" w:lineRule="auto"/>
        <w:jc w:val="both"/>
        <w:rPr>
          <w:rFonts w:ascii="Tahoma" w:hAnsi="Tahoma" w:cs="Tahoma"/>
          <w:sz w:val="22"/>
          <w:szCs w:val="22"/>
        </w:rPr>
      </w:pPr>
      <w:r w:rsidRPr="001B395D">
        <w:rPr>
          <w:rFonts w:ascii="Tahoma" w:hAnsi="Tahoma" w:cs="Tahoma"/>
          <w:sz w:val="22"/>
          <w:szCs w:val="22"/>
        </w:rPr>
        <w:t xml:space="preserve">У претходној деценији дошло је до значајног повећања обухвата ПВО у Србији – за јаслени узраст са само 13% у 2010. години на преко 34% у 2021., за узраст 3 године до поласка у ППП са само 47% у 2010. години на око 66% у 2021. години, а обухват ППП је са 87% у 2010. години порастао на преко 97% у 2021. Средњорочни план МПНТР предвиђа врло благо повећање до 2024. </w:t>
      </w:r>
      <w:r w:rsidRPr="001B395D">
        <w:rPr>
          <w:rFonts w:ascii="Tahoma" w:hAnsi="Tahoma" w:cs="Tahoma"/>
          <w:b/>
          <w:color w:val="1F3864" w:themeColor="accent1" w:themeShade="80"/>
          <w:sz w:val="22"/>
          <w:szCs w:val="22"/>
        </w:rPr>
        <w:t>И поред тога обухват ПВО у Србији је још увек далеко од ЕУ просека где је за узраст 4+ у 2018. години износио чак 94,8%</w:t>
      </w:r>
      <w:r w:rsidRPr="001B395D">
        <w:rPr>
          <w:rFonts w:ascii="Tahoma" w:hAnsi="Tahoma" w:cs="Tahoma"/>
          <w:sz w:val="22"/>
          <w:szCs w:val="22"/>
        </w:rPr>
        <w:t xml:space="preserve"> што је веома близу постављеног циља у ЕУ 2020. од 95%</w:t>
      </w:r>
      <w:r w:rsidRPr="001B395D">
        <w:rPr>
          <w:rStyle w:val="FootnoteReference"/>
          <w:rFonts w:ascii="Tahoma" w:hAnsi="Tahoma" w:cs="Tahoma"/>
          <w:sz w:val="22"/>
          <w:szCs w:val="22"/>
        </w:rPr>
        <w:footnoteReference w:id="9"/>
      </w:r>
      <w:r w:rsidRPr="001B395D">
        <w:rPr>
          <w:rFonts w:ascii="Tahoma" w:hAnsi="Tahoma" w:cs="Tahoma"/>
          <w:sz w:val="22"/>
          <w:szCs w:val="22"/>
        </w:rPr>
        <w:t xml:space="preserve">. </w:t>
      </w:r>
    </w:p>
    <w:p w:rsidR="00AB4D59" w:rsidRPr="001B395D" w:rsidRDefault="00AB4D59" w:rsidP="00AB4D59">
      <w:pPr>
        <w:shd w:val="clear" w:color="auto" w:fill="D9E2F3" w:themeFill="accent1" w:themeFillTint="33"/>
        <w:spacing w:after="160" w:line="259" w:lineRule="auto"/>
        <w:jc w:val="both"/>
        <w:rPr>
          <w:rFonts w:ascii="Tahoma" w:hAnsi="Tahoma" w:cs="Tahoma"/>
          <w:sz w:val="22"/>
          <w:szCs w:val="22"/>
        </w:rPr>
      </w:pPr>
      <w:r w:rsidRPr="001B395D">
        <w:rPr>
          <w:rFonts w:ascii="Tahoma" w:hAnsi="Tahoma" w:cs="Tahoma"/>
          <w:sz w:val="22"/>
          <w:szCs w:val="22"/>
        </w:rPr>
        <w:t>Стратешко опредељење Србије је повећање обухвата деце ПВО. Стратегијом образовања до 2020. године било је предвиђено да обухват деце узраста од 0,5 – 3 година износи 30%; да се за сву децу узраста од 4 – 5,5 година обезбеде бесплатни скраћени (полудневни) програм у току једне школске године што значи потпун обухват деце тог узраста; и потпуни обухват деце узраста од 5,5 – 6,5 година укључених у припремни предшколски програм. Такође, предвиђен је знатно правичнији систем који ће омогућити значајно већи обухват све деце и посебно деце из маргинализованих група која остварују право приоритета при упису. Сем циљаног обухвата деце јасленог узраста, остали циљеви нису постигнути.</w:t>
      </w:r>
    </w:p>
    <w:p w:rsidR="00AB4D59" w:rsidRPr="001B395D" w:rsidRDefault="00AB4D59" w:rsidP="00AB4D59">
      <w:pPr>
        <w:shd w:val="clear" w:color="auto" w:fill="D9E2F3" w:themeFill="accent1" w:themeFillTint="33"/>
        <w:spacing w:after="160" w:line="259" w:lineRule="auto"/>
        <w:jc w:val="both"/>
        <w:rPr>
          <w:rFonts w:ascii="Tahoma" w:hAnsi="Tahoma" w:cs="Tahoma"/>
          <w:sz w:val="22"/>
          <w:szCs w:val="22"/>
        </w:rPr>
      </w:pPr>
      <w:r w:rsidRPr="001B395D">
        <w:rPr>
          <w:rFonts w:ascii="Tahoma" w:hAnsi="Tahoma" w:cs="Tahoma"/>
          <w:sz w:val="22"/>
          <w:szCs w:val="22"/>
        </w:rPr>
        <w:t xml:space="preserve">Стратегија 2030. констатује да је ”у 2019/20. години 6.902 деце је остало неуписано због попуњености капацитета, упркос значајном повећању капацитета предшколских установа (ПУ) и повећаног броја објеката. У контексту праведности </w:t>
      </w:r>
      <w:r w:rsidRPr="001B395D">
        <w:rPr>
          <w:rFonts w:ascii="Tahoma" w:hAnsi="Tahoma" w:cs="Tahoma"/>
          <w:i/>
          <w:sz w:val="22"/>
          <w:szCs w:val="22"/>
        </w:rPr>
        <w:t>и даље су приметне две негативне појаве: разлике између јединица локалне самоуправе (ЈЛС) у погледу обухвата деце уопште и обухвата деце из ромских насеља у Републици Србији која су у најмањој мери укључена у ПВО</w:t>
      </w:r>
      <w:r w:rsidRPr="001B395D">
        <w:rPr>
          <w:rFonts w:ascii="Tahoma" w:hAnsi="Tahoma" w:cs="Tahoma"/>
          <w:sz w:val="22"/>
          <w:szCs w:val="22"/>
        </w:rPr>
        <w:t>”</w:t>
      </w:r>
      <w:r w:rsidRPr="001B395D">
        <w:rPr>
          <w:rStyle w:val="FootnoteReference"/>
          <w:rFonts w:ascii="Tahoma" w:hAnsi="Tahoma" w:cs="Tahoma"/>
          <w:sz w:val="22"/>
          <w:szCs w:val="22"/>
        </w:rPr>
        <w:footnoteReference w:id="10"/>
      </w:r>
      <w:r w:rsidRPr="001B395D">
        <w:rPr>
          <w:rFonts w:ascii="Tahoma" w:hAnsi="Tahoma" w:cs="Tahoma"/>
          <w:sz w:val="22"/>
          <w:szCs w:val="22"/>
        </w:rPr>
        <w:t>. Такође, Стратегија констатује да ”развој диверсификованих програма ПВО још увек није задовољавајући – ЈЛС још увек нису преузеле одговорност за развој кратких висококвалитетних диверсификованих програма, често због недостатка финансијских средстава али и због неразумевања важности ових програма за повећање обухвата и праведности ПВО”.</w:t>
      </w:r>
    </w:p>
    <w:p w:rsidR="00AB4D59" w:rsidRPr="001B395D" w:rsidRDefault="00AB4D59" w:rsidP="00AB4D59">
      <w:pPr>
        <w:shd w:val="clear" w:color="auto" w:fill="D9E2F3" w:themeFill="accent1" w:themeFillTint="33"/>
        <w:spacing w:after="160" w:line="259" w:lineRule="auto"/>
        <w:jc w:val="both"/>
        <w:rPr>
          <w:rFonts w:ascii="Tahoma" w:hAnsi="Tahoma" w:cs="Tahoma"/>
          <w:color w:val="1F3864" w:themeColor="accent1" w:themeShade="80"/>
          <w:sz w:val="22"/>
          <w:szCs w:val="22"/>
        </w:rPr>
      </w:pPr>
      <w:r w:rsidRPr="001B395D">
        <w:rPr>
          <w:rFonts w:ascii="Tahoma" w:hAnsi="Tahoma" w:cs="Tahoma"/>
          <w:sz w:val="22"/>
          <w:szCs w:val="22"/>
        </w:rPr>
        <w:t xml:space="preserve">Стратегије развоја образовања и васпитања у Републици Србији до 2030. године планира обухват деце јасленог узраста од 38%, обухват деце од 3 до 5,5 (до поласка у ППП) од 75% </w:t>
      </w:r>
      <w:r w:rsidRPr="001B395D">
        <w:rPr>
          <w:rFonts w:ascii="Tahoma" w:hAnsi="Tahoma" w:cs="Tahoma"/>
          <w:sz w:val="22"/>
          <w:szCs w:val="22"/>
        </w:rPr>
        <w:lastRenderedPageBreak/>
        <w:t>и обухват ППП-ом од 98%</w:t>
      </w:r>
      <w:r w:rsidRPr="001B395D">
        <w:rPr>
          <w:rStyle w:val="FootnoteReference"/>
          <w:rFonts w:ascii="Tahoma" w:hAnsi="Tahoma" w:cs="Tahoma"/>
          <w:sz w:val="22"/>
          <w:szCs w:val="22"/>
        </w:rPr>
        <w:footnoteReference w:id="11"/>
      </w:r>
      <w:r w:rsidRPr="001B395D">
        <w:rPr>
          <w:rFonts w:ascii="Tahoma" w:hAnsi="Tahoma" w:cs="Tahoma"/>
          <w:sz w:val="22"/>
          <w:szCs w:val="22"/>
        </w:rPr>
        <w:t xml:space="preserve">. </w:t>
      </w:r>
      <w:r w:rsidRPr="001B395D">
        <w:rPr>
          <w:rFonts w:ascii="Tahoma" w:hAnsi="Tahoma" w:cs="Tahoma"/>
          <w:b/>
          <w:color w:val="1F3864" w:themeColor="accent1" w:themeShade="80"/>
          <w:sz w:val="22"/>
          <w:szCs w:val="22"/>
        </w:rPr>
        <w:t>Дакле, повећање обухвата ПВО остаје стратешки приоритет.</w:t>
      </w:r>
    </w:p>
    <w:p w:rsidR="00AB4D59" w:rsidRPr="001B395D" w:rsidRDefault="00AB4D59" w:rsidP="00AB4D59">
      <w:pPr>
        <w:shd w:val="clear" w:color="auto" w:fill="D9E2F3" w:themeFill="accent1" w:themeFillTint="33"/>
        <w:spacing w:after="160" w:line="259" w:lineRule="auto"/>
        <w:jc w:val="both"/>
        <w:rPr>
          <w:rFonts w:ascii="Tahoma" w:hAnsi="Tahoma" w:cs="Tahoma"/>
          <w:sz w:val="22"/>
          <w:szCs w:val="22"/>
        </w:rPr>
      </w:pPr>
      <w:r w:rsidRPr="001B395D">
        <w:rPr>
          <w:rFonts w:ascii="Tahoma" w:hAnsi="Tahoma" w:cs="Tahoma"/>
          <w:sz w:val="22"/>
          <w:szCs w:val="22"/>
        </w:rPr>
        <w:t>Пракса показује да обавезност програма као и финансирање зарада са националног нивоа доводи до скоро потпуног обухвата, што је и био случај са припремним предшколским програмом – ППП. Ипак, имајући у виду доказане користи од предшколског образовања и васпитања, повећање обухвата би требало да буде стратешки правац и циљ сваке општине.</w:t>
      </w:r>
    </w:p>
    <w:p w:rsidR="00AB4D59" w:rsidRPr="001B395D" w:rsidRDefault="00AB4D59" w:rsidP="00AB4D59">
      <w:pPr>
        <w:shd w:val="clear" w:color="auto" w:fill="D9E2F3" w:themeFill="accent1" w:themeFillTint="33"/>
        <w:spacing w:after="160" w:line="259" w:lineRule="auto"/>
        <w:jc w:val="both"/>
        <w:rPr>
          <w:rFonts w:ascii="Tahoma" w:hAnsi="Tahoma" w:cs="Tahoma"/>
          <w:b/>
          <w:sz w:val="22"/>
          <w:szCs w:val="22"/>
        </w:rPr>
      </w:pPr>
      <w:r w:rsidRPr="001B395D">
        <w:rPr>
          <w:rFonts w:ascii="Tahoma" w:hAnsi="Tahoma" w:cs="Tahoma"/>
          <w:sz w:val="22"/>
          <w:szCs w:val="22"/>
        </w:rPr>
        <w:t xml:space="preserve">Потпун обухват не значи нужно да сва деца похађају искључиво целодневне програме </w:t>
      </w:r>
      <w:r w:rsidRPr="001B395D">
        <w:rPr>
          <w:rFonts w:ascii="Tahoma" w:hAnsi="Tahoma" w:cs="Tahoma"/>
          <w:b/>
          <w:color w:val="1F3864" w:themeColor="accent1" w:themeShade="80"/>
          <w:sz w:val="22"/>
          <w:szCs w:val="22"/>
        </w:rPr>
        <w:t xml:space="preserve">већ је потребно изградити флексибилан систем који поред целодневних програма нуди и полудневне програме као и специјализоване програме предшколског образовања. </w:t>
      </w:r>
    </w:p>
    <w:p w:rsidR="00AB4D59" w:rsidRPr="001B395D" w:rsidRDefault="00AB4D59" w:rsidP="00AB4D59">
      <w:pPr>
        <w:shd w:val="clear" w:color="auto" w:fill="D9E2F3" w:themeFill="accent1" w:themeFillTint="33"/>
        <w:spacing w:after="160" w:line="259" w:lineRule="auto"/>
        <w:jc w:val="both"/>
        <w:rPr>
          <w:rFonts w:ascii="Tahoma" w:hAnsi="Tahoma" w:cs="Tahoma"/>
          <w:sz w:val="22"/>
          <w:szCs w:val="22"/>
        </w:rPr>
      </w:pPr>
      <w:r w:rsidRPr="001B395D">
        <w:rPr>
          <w:rFonts w:ascii="Tahoma" w:hAnsi="Tahoma" w:cs="Tahoma"/>
          <w:sz w:val="22"/>
          <w:szCs w:val="22"/>
        </w:rPr>
        <w:t xml:space="preserve">У том смислу, формулација «недовољни капацитети ПВО» у овом документу не значи нужно да је потребно изградити нови вртић, поготово имајући у виду негативне демографске трендове већине општина у Србији, већ је потребно да се ради на осмишљавању програма који би користили постојеће инфраструктурне капацитете (нпр. користити вишак капацитета у школама, организовати мобилне вртиће по узору на УНИЦЕФ пилот пројекте и слично). </w:t>
      </w:r>
    </w:p>
    <w:p w:rsidR="00AB4D59" w:rsidRPr="001B395D" w:rsidRDefault="00AB4D59" w:rsidP="00AB4D59">
      <w:pPr>
        <w:shd w:val="clear" w:color="auto" w:fill="D9E2F3" w:themeFill="accent1" w:themeFillTint="33"/>
        <w:spacing w:after="160" w:line="259" w:lineRule="auto"/>
        <w:jc w:val="both"/>
        <w:rPr>
          <w:rFonts w:ascii="Tahoma" w:hAnsi="Tahoma" w:cs="Tahoma"/>
          <w:sz w:val="22"/>
          <w:szCs w:val="22"/>
        </w:rPr>
      </w:pPr>
      <w:r w:rsidRPr="001B395D">
        <w:rPr>
          <w:rFonts w:ascii="Tahoma" w:hAnsi="Tahoma" w:cs="Tahoma"/>
          <w:sz w:val="22"/>
          <w:szCs w:val="22"/>
        </w:rPr>
        <w:t>Такође, у Студији УНИЦЕФ-а из 2012. године се наводи да и родитеље треба боље упознати са предностима предшколског образовања. “Осим недостатка физичких капацитета и трошкова који проистичу из похађања предшколског образовања, што представља препреке у достизању већег обухвата, више од половине родитеља не препознаје значај предшколског образовања за развој своје деце”.</w:t>
      </w:r>
    </w:p>
    <w:p w:rsidR="00AB4D59" w:rsidRPr="001B395D" w:rsidRDefault="00AB4D59" w:rsidP="00AB4D59">
      <w:pPr>
        <w:spacing w:line="259" w:lineRule="auto"/>
        <w:jc w:val="both"/>
        <w:rPr>
          <w:rFonts w:ascii="Tahoma" w:hAnsi="Tahoma" w:cs="Tahoma"/>
          <w:b/>
          <w:color w:val="2F5496" w:themeColor="accent1" w:themeShade="BF"/>
          <w:sz w:val="10"/>
          <w:szCs w:val="10"/>
        </w:rPr>
      </w:pPr>
    </w:p>
    <w:p w:rsidR="002A5868" w:rsidRPr="001B395D" w:rsidRDefault="00A73290" w:rsidP="009A1C12">
      <w:pPr>
        <w:spacing w:after="160" w:line="259" w:lineRule="auto"/>
        <w:jc w:val="both"/>
        <w:rPr>
          <w:rFonts w:ascii="Tahoma" w:hAnsi="Tahoma" w:cs="Tahoma"/>
          <w:sz w:val="22"/>
          <w:szCs w:val="22"/>
        </w:rPr>
      </w:pPr>
      <w:r w:rsidRPr="001B395D">
        <w:rPr>
          <w:rFonts w:ascii="Tahoma" w:hAnsi="Tahoma" w:cs="Tahoma"/>
          <w:b/>
          <w:color w:val="2F5496"/>
          <w:sz w:val="22"/>
          <w:szCs w:val="22"/>
        </w:rPr>
        <w:t xml:space="preserve">Обухват деце предшколским образовањем и васпитањем у </w:t>
      </w:r>
      <w:r w:rsidR="004138E9" w:rsidRPr="001B395D">
        <w:rPr>
          <w:rFonts w:ascii="Tahoma" w:hAnsi="Tahoma" w:cs="Tahoma"/>
          <w:b/>
          <w:color w:val="2F5496"/>
          <w:sz w:val="22"/>
          <w:szCs w:val="22"/>
        </w:rPr>
        <w:t>Смедеревској Паланци</w:t>
      </w:r>
      <w:r w:rsidRPr="001B395D">
        <w:rPr>
          <w:rFonts w:ascii="Tahoma" w:hAnsi="Tahoma" w:cs="Tahoma"/>
          <w:b/>
          <w:color w:val="2F5496"/>
          <w:sz w:val="22"/>
          <w:szCs w:val="22"/>
        </w:rPr>
        <w:t xml:space="preserve"> се</w:t>
      </w:r>
      <w:r w:rsidR="006C2975">
        <w:rPr>
          <w:rFonts w:ascii="Tahoma" w:hAnsi="Tahoma" w:cs="Tahoma"/>
          <w:b/>
          <w:color w:val="2F5496"/>
          <w:sz w:val="22"/>
          <w:szCs w:val="22"/>
        </w:rPr>
        <w:t xml:space="preserve"> </w:t>
      </w:r>
      <w:r w:rsidR="00F321F0" w:rsidRPr="001B395D">
        <w:rPr>
          <w:rFonts w:ascii="Tahoma" w:hAnsi="Tahoma" w:cs="Tahoma"/>
          <w:b/>
          <w:color w:val="2F5496"/>
          <w:sz w:val="22"/>
          <w:szCs w:val="22"/>
        </w:rPr>
        <w:t>к</w:t>
      </w:r>
      <w:r w:rsidR="0014448E" w:rsidRPr="001B395D">
        <w:rPr>
          <w:rFonts w:ascii="Tahoma" w:hAnsi="Tahoma" w:cs="Tahoma"/>
          <w:b/>
          <w:color w:val="2F5496"/>
          <w:sz w:val="22"/>
          <w:szCs w:val="22"/>
        </w:rPr>
        <w:t>онстантно</w:t>
      </w:r>
      <w:r w:rsidRPr="001B395D">
        <w:rPr>
          <w:rFonts w:ascii="Tahoma" w:hAnsi="Tahoma" w:cs="Tahoma"/>
          <w:b/>
          <w:color w:val="2F5496"/>
          <w:sz w:val="22"/>
          <w:szCs w:val="22"/>
        </w:rPr>
        <w:t xml:space="preserve"> повећава.</w:t>
      </w:r>
      <w:r w:rsidR="00AB4D59" w:rsidRPr="001B395D">
        <w:rPr>
          <w:rFonts w:ascii="Tahoma" w:hAnsi="Tahoma" w:cs="Tahoma"/>
          <w:sz w:val="22"/>
          <w:szCs w:val="22"/>
        </w:rPr>
        <w:t xml:space="preserve">Иако </w:t>
      </w:r>
      <w:r w:rsidR="00F321F0" w:rsidRPr="001B395D">
        <w:rPr>
          <w:rFonts w:ascii="Tahoma" w:hAnsi="Tahoma" w:cs="Tahoma"/>
          <w:sz w:val="22"/>
          <w:szCs w:val="22"/>
        </w:rPr>
        <w:t>је</w:t>
      </w:r>
      <w:r w:rsidR="00AB4D59" w:rsidRPr="001B395D">
        <w:rPr>
          <w:rFonts w:ascii="Tahoma" w:hAnsi="Tahoma" w:cs="Tahoma"/>
          <w:sz w:val="22"/>
          <w:szCs w:val="22"/>
        </w:rPr>
        <w:t xml:space="preserve"> у 2020. години</w:t>
      </w:r>
      <w:r w:rsidR="00F321F0" w:rsidRPr="001B395D">
        <w:rPr>
          <w:rFonts w:ascii="Tahoma" w:hAnsi="Tahoma" w:cs="Tahoma"/>
          <w:sz w:val="22"/>
          <w:szCs w:val="22"/>
        </w:rPr>
        <w:t xml:space="preserve"> дошло до необјашњивог пада обухвата</w:t>
      </w:r>
      <w:r w:rsidR="00F321F0" w:rsidRPr="001B395D">
        <w:rPr>
          <w:rStyle w:val="FootnoteReference"/>
          <w:rFonts w:ascii="Tahoma" w:hAnsi="Tahoma" w:cs="Tahoma"/>
          <w:sz w:val="22"/>
          <w:szCs w:val="22"/>
        </w:rPr>
        <w:footnoteReference w:id="12"/>
      </w:r>
      <w:r w:rsidR="00AB4D59" w:rsidRPr="001B395D">
        <w:rPr>
          <w:rFonts w:ascii="Tahoma" w:hAnsi="Tahoma" w:cs="Tahoma"/>
          <w:sz w:val="22"/>
          <w:szCs w:val="22"/>
        </w:rPr>
        <w:t xml:space="preserve">, ипак се може рећи да је евидентан раст обухвата свих узрасних група у претходној деценији (Графикон 1). </w:t>
      </w:r>
    </w:p>
    <w:p w:rsidR="00CC3318" w:rsidRPr="001B395D" w:rsidRDefault="00CC3318" w:rsidP="009A1C12">
      <w:pPr>
        <w:spacing w:line="259" w:lineRule="auto"/>
        <w:jc w:val="both"/>
        <w:rPr>
          <w:rFonts w:ascii="Tahoma" w:hAnsi="Tahoma" w:cs="Tahoma"/>
          <w:sz w:val="10"/>
          <w:szCs w:val="10"/>
        </w:rPr>
      </w:pPr>
    </w:p>
    <w:p w:rsidR="00AB4D59" w:rsidRPr="001B395D" w:rsidRDefault="00AB4D59" w:rsidP="006C6D7A">
      <w:pPr>
        <w:spacing w:after="160" w:line="259" w:lineRule="auto"/>
        <w:jc w:val="both"/>
        <w:rPr>
          <w:rFonts w:ascii="Tahoma" w:hAnsi="Tahoma" w:cs="Tahoma"/>
          <w:bCs/>
          <w:color w:val="2F5496"/>
          <w:sz w:val="22"/>
          <w:szCs w:val="22"/>
        </w:rPr>
      </w:pPr>
    </w:p>
    <w:p w:rsidR="00AB4D59" w:rsidRPr="001B395D" w:rsidRDefault="00AB4D59" w:rsidP="006C6D7A">
      <w:pPr>
        <w:spacing w:after="160" w:line="259" w:lineRule="auto"/>
        <w:jc w:val="both"/>
        <w:rPr>
          <w:rFonts w:ascii="Tahoma" w:hAnsi="Tahoma" w:cs="Tahoma"/>
          <w:bCs/>
          <w:color w:val="2F5496"/>
          <w:sz w:val="22"/>
          <w:szCs w:val="22"/>
        </w:rPr>
      </w:pPr>
    </w:p>
    <w:p w:rsidR="00AB4D59" w:rsidRPr="001B395D" w:rsidRDefault="00AB4D59" w:rsidP="006C6D7A">
      <w:pPr>
        <w:spacing w:after="160" w:line="259" w:lineRule="auto"/>
        <w:jc w:val="both"/>
        <w:rPr>
          <w:rFonts w:ascii="Tahoma" w:hAnsi="Tahoma" w:cs="Tahoma"/>
          <w:bCs/>
          <w:color w:val="2F5496"/>
          <w:sz w:val="22"/>
          <w:szCs w:val="22"/>
        </w:rPr>
      </w:pPr>
    </w:p>
    <w:p w:rsidR="00AB4D59" w:rsidRPr="001B395D" w:rsidRDefault="00AB4D59" w:rsidP="006C6D7A">
      <w:pPr>
        <w:spacing w:after="160" w:line="259" w:lineRule="auto"/>
        <w:jc w:val="both"/>
        <w:rPr>
          <w:rFonts w:ascii="Tahoma" w:hAnsi="Tahoma" w:cs="Tahoma"/>
          <w:bCs/>
          <w:color w:val="2F5496"/>
          <w:sz w:val="22"/>
          <w:szCs w:val="22"/>
        </w:rPr>
      </w:pPr>
    </w:p>
    <w:p w:rsidR="00AB4D59" w:rsidRDefault="00AB4D59" w:rsidP="006C6D7A">
      <w:pPr>
        <w:spacing w:after="160" w:line="259" w:lineRule="auto"/>
        <w:jc w:val="both"/>
        <w:rPr>
          <w:rFonts w:ascii="Tahoma" w:hAnsi="Tahoma" w:cs="Tahoma"/>
          <w:bCs/>
          <w:color w:val="2F5496"/>
          <w:sz w:val="22"/>
          <w:szCs w:val="22"/>
        </w:rPr>
      </w:pPr>
    </w:p>
    <w:p w:rsidR="001B395D" w:rsidRPr="001B395D" w:rsidRDefault="001B395D" w:rsidP="006C6D7A">
      <w:pPr>
        <w:spacing w:after="160" w:line="259" w:lineRule="auto"/>
        <w:jc w:val="both"/>
        <w:rPr>
          <w:rFonts w:ascii="Tahoma" w:hAnsi="Tahoma" w:cs="Tahoma"/>
          <w:bCs/>
          <w:color w:val="2F5496"/>
          <w:sz w:val="22"/>
          <w:szCs w:val="22"/>
        </w:rPr>
      </w:pPr>
    </w:p>
    <w:p w:rsidR="00DD228F" w:rsidRPr="001B395D" w:rsidRDefault="00A73290" w:rsidP="006C6D7A">
      <w:pPr>
        <w:spacing w:after="160" w:line="259" w:lineRule="auto"/>
        <w:jc w:val="both"/>
        <w:rPr>
          <w:rFonts w:ascii="Tahoma" w:hAnsi="Tahoma" w:cs="Tahoma"/>
          <w:bCs/>
          <w:color w:val="2F5496"/>
          <w:sz w:val="22"/>
          <w:szCs w:val="22"/>
        </w:rPr>
      </w:pPr>
      <w:r w:rsidRPr="001B395D">
        <w:rPr>
          <w:rFonts w:ascii="Tahoma" w:hAnsi="Tahoma" w:cs="Tahoma"/>
          <w:bCs/>
          <w:color w:val="2F5496"/>
          <w:sz w:val="22"/>
          <w:szCs w:val="22"/>
        </w:rPr>
        <w:t>Графикон</w:t>
      </w:r>
      <w:r w:rsidR="005715A0" w:rsidRPr="001B395D">
        <w:rPr>
          <w:rFonts w:ascii="Tahoma" w:hAnsi="Tahoma" w:cs="Tahoma"/>
          <w:bCs/>
          <w:color w:val="2F5496"/>
          <w:sz w:val="22"/>
          <w:szCs w:val="22"/>
        </w:rPr>
        <w:t>1</w:t>
      </w:r>
      <w:r w:rsidR="00B3089C" w:rsidRPr="001B395D">
        <w:rPr>
          <w:rFonts w:ascii="Tahoma" w:hAnsi="Tahoma" w:cs="Tahoma"/>
          <w:bCs/>
          <w:color w:val="2F5496"/>
          <w:sz w:val="22"/>
          <w:szCs w:val="22"/>
        </w:rPr>
        <w:t xml:space="preserve">. </w:t>
      </w:r>
      <w:r w:rsidRPr="001B395D">
        <w:rPr>
          <w:rFonts w:ascii="Tahoma" w:hAnsi="Tahoma" w:cs="Tahoma"/>
          <w:bCs/>
          <w:color w:val="2F5496"/>
          <w:sz w:val="22"/>
          <w:szCs w:val="22"/>
        </w:rPr>
        <w:t>Tренд обухвата деце ПВ</w:t>
      </w:r>
      <w:r w:rsidR="00F31D38" w:rsidRPr="001B395D">
        <w:rPr>
          <w:rFonts w:ascii="Tahoma" w:hAnsi="Tahoma" w:cs="Tahoma"/>
          <w:bCs/>
          <w:color w:val="2F5496"/>
          <w:sz w:val="22"/>
          <w:szCs w:val="22"/>
        </w:rPr>
        <w:t>O</w:t>
      </w:r>
      <w:r w:rsidR="00D90A62" w:rsidRPr="001B395D">
        <w:rPr>
          <w:rFonts w:ascii="Tahoma" w:hAnsi="Tahoma" w:cs="Tahoma"/>
          <w:bCs/>
          <w:color w:val="2F5496"/>
          <w:sz w:val="22"/>
          <w:szCs w:val="22"/>
        </w:rPr>
        <w:t xml:space="preserve"> (</w:t>
      </w:r>
      <w:r w:rsidR="00AB3F5B" w:rsidRPr="001B395D">
        <w:rPr>
          <w:rFonts w:ascii="Tahoma" w:hAnsi="Tahoma" w:cs="Tahoma"/>
          <w:bCs/>
          <w:color w:val="2F5496"/>
          <w:sz w:val="22"/>
          <w:szCs w:val="22"/>
        </w:rPr>
        <w:t xml:space="preserve">у </w:t>
      </w:r>
      <w:r w:rsidR="00D90A62" w:rsidRPr="001B395D">
        <w:rPr>
          <w:rFonts w:ascii="Tahoma" w:hAnsi="Tahoma" w:cs="Tahoma"/>
          <w:bCs/>
          <w:color w:val="2F5496"/>
          <w:sz w:val="22"/>
          <w:szCs w:val="22"/>
        </w:rPr>
        <w:t xml:space="preserve">%), </w:t>
      </w:r>
      <w:r w:rsidR="009A1C12" w:rsidRPr="001B395D">
        <w:rPr>
          <w:rFonts w:ascii="Tahoma" w:hAnsi="Tahoma" w:cs="Tahoma"/>
          <w:bCs/>
          <w:color w:val="2F5496"/>
          <w:sz w:val="22"/>
          <w:szCs w:val="22"/>
        </w:rPr>
        <w:t xml:space="preserve">за период </w:t>
      </w:r>
      <w:r w:rsidR="00D90A62" w:rsidRPr="001B395D">
        <w:rPr>
          <w:rFonts w:ascii="Tahoma" w:hAnsi="Tahoma" w:cs="Tahoma"/>
          <w:bCs/>
          <w:color w:val="2F5496"/>
          <w:sz w:val="22"/>
          <w:szCs w:val="22"/>
        </w:rPr>
        <w:t>2010-20</w:t>
      </w:r>
      <w:r w:rsidR="00DA79EA" w:rsidRPr="001B395D">
        <w:rPr>
          <w:rFonts w:ascii="Tahoma" w:hAnsi="Tahoma" w:cs="Tahoma"/>
          <w:bCs/>
          <w:color w:val="2F5496"/>
          <w:sz w:val="22"/>
          <w:szCs w:val="22"/>
        </w:rPr>
        <w:t>20</w:t>
      </w:r>
      <w:r w:rsidR="009A1C12" w:rsidRPr="001B395D">
        <w:rPr>
          <w:rFonts w:ascii="Tahoma" w:hAnsi="Tahoma" w:cs="Tahoma"/>
          <w:bCs/>
          <w:color w:val="2F5496"/>
          <w:sz w:val="22"/>
          <w:szCs w:val="22"/>
        </w:rPr>
        <w:t>.</w:t>
      </w:r>
    </w:p>
    <w:p w:rsidR="00D90A62" w:rsidRPr="001B395D" w:rsidRDefault="001808A2" w:rsidP="001808A2">
      <w:pPr>
        <w:spacing w:after="160" w:line="259" w:lineRule="auto"/>
        <w:jc w:val="center"/>
        <w:rPr>
          <w:rFonts w:ascii="Tahoma" w:hAnsi="Tahoma" w:cs="Tahoma"/>
          <w:bCs/>
          <w:color w:val="2F5496"/>
          <w:sz w:val="22"/>
          <w:szCs w:val="22"/>
          <w:highlight w:val="yellow"/>
        </w:rPr>
      </w:pPr>
      <w:r w:rsidRPr="001B395D">
        <w:rPr>
          <w:rFonts w:ascii="Tahoma" w:hAnsi="Tahoma" w:cs="Tahoma"/>
          <w:bCs/>
          <w:noProof/>
          <w:color w:val="2F5496"/>
          <w:sz w:val="22"/>
          <w:szCs w:val="22"/>
        </w:rPr>
        <w:lastRenderedPageBreak/>
        <w:drawing>
          <wp:inline distT="0" distB="0" distL="0" distR="0">
            <wp:extent cx="4885700" cy="2729851"/>
            <wp:effectExtent l="1905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D228F" w:rsidRPr="001B395D" w:rsidRDefault="001A0EA1" w:rsidP="00AB78CC">
      <w:pPr>
        <w:jc w:val="both"/>
        <w:rPr>
          <w:b/>
          <w:i/>
        </w:rPr>
      </w:pPr>
      <w:r w:rsidRPr="001B395D">
        <w:rPr>
          <w:rFonts w:ascii="Tahoma" w:hAnsi="Tahoma" w:cs="Tahoma"/>
          <w:sz w:val="18"/>
          <w:szCs w:val="18"/>
        </w:rPr>
        <w:t>Извор: Републички завод за статистику, ДевИнфо база</w:t>
      </w:r>
      <w:r w:rsidRPr="001B395D">
        <w:rPr>
          <w:rFonts w:ascii="Tahoma" w:eastAsia="Open Sans" w:hAnsi="Tahoma" w:cs="Tahoma"/>
          <w:sz w:val="18"/>
          <w:szCs w:val="18"/>
        </w:rPr>
        <w:t xml:space="preserve"> (линк </w:t>
      </w:r>
      <w:hyperlink r:id="rId12" w:history="1">
        <w:r w:rsidRPr="001B395D">
          <w:rPr>
            <w:rStyle w:val="Hyperlink"/>
            <w:rFonts w:ascii="Tahoma" w:eastAsia="Open Sans" w:hAnsi="Tahoma" w:cs="Tahoma"/>
            <w:sz w:val="18"/>
            <w:szCs w:val="18"/>
          </w:rPr>
          <w:t>&gt;&gt;</w:t>
        </w:r>
      </w:hyperlink>
      <w:r w:rsidRPr="001B395D">
        <w:rPr>
          <w:rFonts w:ascii="Tahoma" w:eastAsia="Open Sans" w:hAnsi="Tahoma" w:cs="Tahoma"/>
          <w:sz w:val="18"/>
          <w:szCs w:val="18"/>
        </w:rPr>
        <w:t>)</w:t>
      </w:r>
      <w:r w:rsidR="000A7C7C" w:rsidRPr="001B395D">
        <w:rPr>
          <w:rFonts w:ascii="Tahoma" w:eastAsia="Open Sans" w:hAnsi="Tahoma" w:cs="Tahoma"/>
          <w:sz w:val="18"/>
          <w:szCs w:val="18"/>
        </w:rPr>
        <w:t>.</w:t>
      </w:r>
    </w:p>
    <w:p w:rsidR="00DD228F" w:rsidRPr="001B395D" w:rsidRDefault="00DD228F" w:rsidP="00A3711B">
      <w:pPr>
        <w:spacing w:after="160" w:line="259" w:lineRule="auto"/>
        <w:jc w:val="both"/>
        <w:rPr>
          <w:rFonts w:ascii="Tahoma" w:hAnsi="Tahoma" w:cs="Tahoma"/>
          <w:sz w:val="22"/>
          <w:szCs w:val="22"/>
        </w:rPr>
      </w:pPr>
    </w:p>
    <w:p w:rsidR="00A73290" w:rsidRPr="001B395D" w:rsidRDefault="00A73290" w:rsidP="00A7362E">
      <w:pPr>
        <w:pStyle w:val="FootnoteText"/>
        <w:shd w:val="clear" w:color="auto" w:fill="D9E2F3" w:themeFill="accent1" w:themeFillTint="33"/>
        <w:spacing w:after="160" w:line="259" w:lineRule="auto"/>
        <w:jc w:val="both"/>
        <w:rPr>
          <w:rFonts w:ascii="Tahoma" w:hAnsi="Tahoma" w:cs="Tahoma"/>
          <w:b/>
          <w:bCs/>
          <w:color w:val="1F3864" w:themeColor="accent1" w:themeShade="80"/>
          <w:sz w:val="22"/>
          <w:szCs w:val="22"/>
        </w:rPr>
      </w:pPr>
      <w:r w:rsidRPr="001B395D">
        <w:rPr>
          <w:rFonts w:ascii="Tahoma" w:hAnsi="Tahoma" w:cs="Tahoma"/>
          <w:b/>
          <w:bCs/>
          <w:color w:val="1F3864" w:themeColor="accent1" w:themeShade="80"/>
          <w:sz w:val="22"/>
          <w:szCs w:val="22"/>
        </w:rPr>
        <w:t>Оквир 2.</w:t>
      </w:r>
      <w:r w:rsidR="00A7362E" w:rsidRPr="001B395D">
        <w:rPr>
          <w:rFonts w:ascii="Tahoma" w:hAnsi="Tahoma" w:cs="Tahoma"/>
          <w:b/>
          <w:bCs/>
          <w:color w:val="1F3864" w:themeColor="accent1" w:themeShade="80"/>
          <w:sz w:val="22"/>
          <w:szCs w:val="22"/>
        </w:rPr>
        <w:t xml:space="preserve"> Методолошки недостаци праћења обухвата на нивоу локалних самоуправа </w:t>
      </w:r>
    </w:p>
    <w:p w:rsidR="00F32E11" w:rsidRPr="001B395D" w:rsidRDefault="00A73290" w:rsidP="00A7362E">
      <w:pPr>
        <w:pStyle w:val="FootnoteText"/>
        <w:shd w:val="clear" w:color="auto" w:fill="D9E2F3" w:themeFill="accent1" w:themeFillTint="33"/>
        <w:spacing w:after="160" w:line="259" w:lineRule="auto"/>
        <w:jc w:val="both"/>
        <w:rPr>
          <w:rFonts w:ascii="Tahoma" w:hAnsi="Tahoma" w:cs="Tahoma"/>
          <w:sz w:val="22"/>
          <w:szCs w:val="22"/>
        </w:rPr>
      </w:pPr>
      <w:r w:rsidRPr="001B395D">
        <w:rPr>
          <w:rFonts w:ascii="Tahoma" w:hAnsi="Tahoma" w:cs="Tahoma"/>
          <w:sz w:val="22"/>
          <w:szCs w:val="22"/>
        </w:rPr>
        <w:t>Податке</w:t>
      </w:r>
      <w:r w:rsidR="0073250F">
        <w:rPr>
          <w:rFonts w:ascii="Tahoma" w:hAnsi="Tahoma" w:cs="Tahoma"/>
          <w:sz w:val="22"/>
          <w:szCs w:val="22"/>
        </w:rPr>
        <w:t xml:space="preserve"> </w:t>
      </w:r>
      <w:r w:rsidR="00F32E11" w:rsidRPr="001B395D">
        <w:rPr>
          <w:rFonts w:ascii="Tahoma" w:hAnsi="Tahoma" w:cs="Tahoma"/>
          <w:sz w:val="22"/>
          <w:szCs w:val="22"/>
        </w:rPr>
        <w:t>о обухвату на локалном нивоу треба узети са резервом</w:t>
      </w:r>
      <w:r w:rsidR="00A7362E" w:rsidRPr="001B395D">
        <w:rPr>
          <w:rFonts w:ascii="Tahoma" w:hAnsi="Tahoma" w:cs="Tahoma"/>
          <w:sz w:val="22"/>
          <w:szCs w:val="22"/>
        </w:rPr>
        <w:t>,</w:t>
      </w:r>
      <w:r w:rsidR="00F32E11" w:rsidRPr="001B395D">
        <w:rPr>
          <w:rFonts w:ascii="Tahoma" w:hAnsi="Tahoma" w:cs="Tahoma"/>
          <w:sz w:val="22"/>
          <w:szCs w:val="22"/>
        </w:rPr>
        <w:t xml:space="preserve"> на шта и указује о</w:t>
      </w:r>
      <w:r w:rsidR="000F40CF" w:rsidRPr="001B395D">
        <w:rPr>
          <w:rFonts w:ascii="Tahoma" w:hAnsi="Tahoma" w:cs="Tahoma"/>
          <w:sz w:val="22"/>
          <w:szCs w:val="22"/>
        </w:rPr>
        <w:t xml:space="preserve">бухват који је виши од 100% али </w:t>
      </w:r>
      <w:r w:rsidR="00F32E11" w:rsidRPr="001B395D">
        <w:rPr>
          <w:rFonts w:ascii="Tahoma" w:hAnsi="Tahoma" w:cs="Tahoma"/>
          <w:sz w:val="22"/>
          <w:szCs w:val="22"/>
        </w:rPr>
        <w:t>и нижи од реалности из методолошких</w:t>
      </w:r>
      <w:r w:rsidR="00A7362E" w:rsidRPr="001B395D">
        <w:rPr>
          <w:rFonts w:ascii="Tahoma" w:hAnsi="Tahoma" w:cs="Tahoma"/>
          <w:sz w:val="22"/>
          <w:szCs w:val="22"/>
        </w:rPr>
        <w:t xml:space="preserve"> разлога</w:t>
      </w:r>
      <w:r w:rsidR="00F32E11" w:rsidRPr="001B395D">
        <w:rPr>
          <w:rFonts w:ascii="Tahoma" w:hAnsi="Tahoma" w:cs="Tahoma"/>
          <w:sz w:val="22"/>
          <w:szCs w:val="22"/>
        </w:rPr>
        <w:t>. Разлози могу бити следећи: а) када се посматра обухват број деце у ППП узима</w:t>
      </w:r>
      <w:r w:rsidR="001D1973">
        <w:rPr>
          <w:rFonts w:ascii="Tahoma" w:hAnsi="Tahoma" w:cs="Tahoma"/>
          <w:sz w:val="22"/>
          <w:szCs w:val="22"/>
        </w:rPr>
        <w:t xml:space="preserve"> se</w:t>
      </w:r>
      <w:r w:rsidR="00F32E11" w:rsidRPr="001B395D">
        <w:rPr>
          <w:rFonts w:ascii="Tahoma" w:hAnsi="Tahoma" w:cs="Tahoma"/>
          <w:sz w:val="22"/>
          <w:szCs w:val="22"/>
        </w:rPr>
        <w:t xml:space="preserve"> у целини без обзира на узраст (то значи да се ту могу наћи и деца која </w:t>
      </w:r>
      <w:r w:rsidR="0050772F">
        <w:rPr>
          <w:rFonts w:ascii="Tahoma" w:hAnsi="Tahoma" w:cs="Tahoma"/>
          <w:sz w:val="22"/>
          <w:szCs w:val="22"/>
        </w:rPr>
        <w:t xml:space="preserve">су </w:t>
      </w:r>
      <w:r w:rsidR="00F32E11" w:rsidRPr="001B395D">
        <w:rPr>
          <w:rFonts w:ascii="Tahoma" w:hAnsi="Tahoma" w:cs="Tahoma"/>
          <w:sz w:val="22"/>
          <w:szCs w:val="22"/>
        </w:rPr>
        <w:t>кренула раније/касније у ППП у односу законски одређену генерацију; б) школска генерација се одређује од 1. марта а у демографским подацима од 1. јануара, па је питање да ли статистика ради ту врсту усаглашавања; ц) када се подаци посматрају на локалном нивоу проблем</w:t>
      </w:r>
      <w:r w:rsidR="0050772F">
        <w:rPr>
          <w:rFonts w:ascii="Tahoma" w:hAnsi="Tahoma" w:cs="Tahoma"/>
          <w:sz w:val="22"/>
          <w:szCs w:val="22"/>
        </w:rPr>
        <w:t>и</w:t>
      </w:r>
      <w:r w:rsidR="00F32E11" w:rsidRPr="001B395D">
        <w:rPr>
          <w:rFonts w:ascii="Tahoma" w:hAnsi="Tahoma" w:cs="Tahoma"/>
          <w:sz w:val="22"/>
          <w:szCs w:val="22"/>
        </w:rPr>
        <w:t xml:space="preserve"> могу да настану услед миграција и неажурираних података становништва, затим када су општин</w:t>
      </w:r>
      <w:r w:rsidR="0050772F">
        <w:rPr>
          <w:rFonts w:ascii="Tahoma" w:hAnsi="Tahoma" w:cs="Tahoma"/>
          <w:sz w:val="22"/>
          <w:szCs w:val="22"/>
        </w:rPr>
        <w:t>е</w:t>
      </w:r>
      <w:r w:rsidR="00F32E11" w:rsidRPr="001B395D">
        <w:rPr>
          <w:rFonts w:ascii="Tahoma" w:hAnsi="Tahoma" w:cs="Tahoma"/>
          <w:sz w:val="22"/>
          <w:szCs w:val="22"/>
        </w:rPr>
        <w:t xml:space="preserve"> близу једна другој могуће је да деца живе у једној општини а похађају програм у другој. И на крају увек код показатеља са малим апсолутним вредностима, што може бити случај код општина, релативне вредности могу да покажу велике промене које су у апсолутном износу заправо мале.</w:t>
      </w:r>
    </w:p>
    <w:p w:rsidR="00CC524D" w:rsidRPr="001B395D" w:rsidRDefault="00F32E11" w:rsidP="00A7362E">
      <w:pPr>
        <w:pStyle w:val="FootnoteText"/>
        <w:shd w:val="clear" w:color="auto" w:fill="D9E2F3" w:themeFill="accent1" w:themeFillTint="33"/>
        <w:spacing w:after="160" w:line="259" w:lineRule="auto"/>
        <w:jc w:val="both"/>
        <w:rPr>
          <w:rFonts w:ascii="Tahoma" w:hAnsi="Tahoma" w:cs="Tahoma"/>
          <w:sz w:val="22"/>
          <w:szCs w:val="22"/>
        </w:rPr>
      </w:pPr>
      <w:r w:rsidRPr="001B395D">
        <w:rPr>
          <w:rFonts w:ascii="Tahoma" w:hAnsi="Tahoma" w:cs="Tahoma"/>
          <w:sz w:val="22"/>
          <w:szCs w:val="22"/>
        </w:rPr>
        <w:t>Слично, и подаци на пример о одустајању од школовања (види Оквир 5. за индикаторе основног и средњег образовања) могу да буду последица миграција</w:t>
      </w:r>
      <w:r w:rsidR="006D3667">
        <w:rPr>
          <w:rFonts w:ascii="Tahoma" w:hAnsi="Tahoma" w:cs="Tahoma"/>
          <w:sz w:val="22"/>
          <w:szCs w:val="22"/>
        </w:rPr>
        <w:t>,</w:t>
      </w:r>
      <w:r w:rsidRPr="001B395D">
        <w:rPr>
          <w:rFonts w:ascii="Tahoma" w:hAnsi="Tahoma" w:cs="Tahoma"/>
          <w:sz w:val="22"/>
          <w:szCs w:val="22"/>
        </w:rPr>
        <w:t xml:space="preserve"> а не заиста одустајања од школовања деце. Ови подаци чак </w:t>
      </w:r>
      <w:r w:rsidR="006D3667">
        <w:rPr>
          <w:rFonts w:ascii="Tahoma" w:hAnsi="Tahoma" w:cs="Tahoma"/>
          <w:sz w:val="22"/>
          <w:szCs w:val="22"/>
        </w:rPr>
        <w:t>и н</w:t>
      </w:r>
      <w:r w:rsidRPr="001B395D">
        <w:rPr>
          <w:rFonts w:ascii="Tahoma" w:hAnsi="Tahoma" w:cs="Tahoma"/>
          <w:sz w:val="22"/>
          <w:szCs w:val="22"/>
        </w:rPr>
        <w:t>а националном нивоу могу да буду узроковани миграцијама, али на локалном нивоу то је још израженије.</w:t>
      </w:r>
    </w:p>
    <w:p w:rsidR="00F07BB2" w:rsidRPr="001B395D" w:rsidRDefault="00F07BB2" w:rsidP="00A7362E">
      <w:pPr>
        <w:pStyle w:val="FootnoteText"/>
        <w:shd w:val="clear" w:color="auto" w:fill="D9E2F3" w:themeFill="accent1" w:themeFillTint="33"/>
        <w:spacing w:line="259" w:lineRule="auto"/>
        <w:jc w:val="both"/>
        <w:rPr>
          <w:rFonts w:ascii="Tahoma" w:hAnsi="Tahoma" w:cs="Tahoma"/>
          <w:sz w:val="10"/>
          <w:szCs w:val="10"/>
        </w:rPr>
      </w:pPr>
    </w:p>
    <w:p w:rsidR="00F07BB2" w:rsidRPr="001B395D" w:rsidRDefault="00F07BB2" w:rsidP="00A7362E">
      <w:pPr>
        <w:spacing w:line="259" w:lineRule="auto"/>
        <w:jc w:val="both"/>
        <w:rPr>
          <w:rFonts w:ascii="Tahoma" w:hAnsi="Tahoma" w:cs="Tahoma"/>
          <w:bCs/>
          <w:iCs/>
          <w:sz w:val="10"/>
          <w:szCs w:val="10"/>
        </w:rPr>
      </w:pPr>
    </w:p>
    <w:p w:rsidR="003B4C39" w:rsidRPr="001B395D" w:rsidRDefault="003B4C39" w:rsidP="00A7362E">
      <w:pPr>
        <w:spacing w:after="160" w:line="259" w:lineRule="auto"/>
        <w:jc w:val="both"/>
        <w:rPr>
          <w:rFonts w:ascii="Tahoma" w:hAnsi="Tahoma" w:cs="Tahoma"/>
          <w:sz w:val="10"/>
          <w:szCs w:val="10"/>
        </w:rPr>
      </w:pPr>
    </w:p>
    <w:p w:rsidR="00C47944" w:rsidRPr="001B395D" w:rsidRDefault="00D14306" w:rsidP="00CB5BFE">
      <w:pPr>
        <w:spacing w:line="259" w:lineRule="auto"/>
        <w:jc w:val="both"/>
        <w:rPr>
          <w:rFonts w:ascii="Tahoma" w:hAnsi="Tahoma" w:cs="Tahoma"/>
          <w:sz w:val="22"/>
          <w:szCs w:val="22"/>
        </w:rPr>
      </w:pPr>
      <w:r w:rsidRPr="001B395D">
        <w:rPr>
          <w:rFonts w:ascii="Tahoma" w:hAnsi="Tahoma" w:cs="Tahoma"/>
          <w:b/>
          <w:color w:val="2F5496" w:themeColor="accent1" w:themeShade="BF"/>
          <w:sz w:val="22"/>
          <w:szCs w:val="22"/>
        </w:rPr>
        <w:t xml:space="preserve">Oбухват деце </w:t>
      </w:r>
      <w:r w:rsidR="00CB5BFE" w:rsidRPr="001B395D">
        <w:rPr>
          <w:rFonts w:ascii="Tahoma" w:hAnsi="Tahoma" w:cs="Tahoma"/>
          <w:b/>
          <w:color w:val="2F5496" w:themeColor="accent1" w:themeShade="BF"/>
          <w:sz w:val="22"/>
          <w:szCs w:val="22"/>
        </w:rPr>
        <w:t>ПВО је на нивоу подручја и обла</w:t>
      </w:r>
      <w:r w:rsidR="000B3EF6" w:rsidRPr="001B395D">
        <w:rPr>
          <w:rFonts w:ascii="Tahoma" w:hAnsi="Tahoma" w:cs="Tahoma"/>
          <w:b/>
          <w:color w:val="2F5496" w:themeColor="accent1" w:themeShade="BF"/>
          <w:sz w:val="22"/>
          <w:szCs w:val="22"/>
        </w:rPr>
        <w:t>с</w:t>
      </w:r>
      <w:r w:rsidR="00CB5BFE" w:rsidRPr="001B395D">
        <w:rPr>
          <w:rFonts w:ascii="Tahoma" w:hAnsi="Tahoma" w:cs="Tahoma"/>
          <w:b/>
          <w:color w:val="2F5496" w:themeColor="accent1" w:themeShade="BF"/>
          <w:sz w:val="22"/>
          <w:szCs w:val="22"/>
        </w:rPr>
        <w:t xml:space="preserve">ти у којој се </w:t>
      </w:r>
      <w:r w:rsidR="000B3EF6" w:rsidRPr="001B395D">
        <w:rPr>
          <w:rFonts w:ascii="Tahoma" w:hAnsi="Tahoma" w:cs="Tahoma"/>
          <w:b/>
          <w:color w:val="2F5496" w:themeColor="accent1" w:themeShade="BF"/>
          <w:sz w:val="22"/>
          <w:szCs w:val="22"/>
        </w:rPr>
        <w:t>Смедеревска</w:t>
      </w:r>
      <w:r w:rsidR="00CB5BFE" w:rsidRPr="001B395D">
        <w:rPr>
          <w:rFonts w:ascii="Tahoma" w:hAnsi="Tahoma" w:cs="Tahoma"/>
          <w:b/>
          <w:color w:val="2F5496" w:themeColor="accent1" w:themeShade="BF"/>
          <w:sz w:val="22"/>
          <w:szCs w:val="22"/>
        </w:rPr>
        <w:t xml:space="preserve"> Паланка налази.</w:t>
      </w:r>
      <w:r w:rsidRPr="001B395D">
        <w:rPr>
          <w:rFonts w:ascii="Tahoma" w:hAnsi="Tahoma" w:cs="Tahoma"/>
          <w:sz w:val="22"/>
          <w:szCs w:val="22"/>
        </w:rPr>
        <w:t xml:space="preserve">Поређење трогодишњег просека показује да је обухват јасленог узраста </w:t>
      </w:r>
      <w:r w:rsidR="00CB5BFE" w:rsidRPr="001B395D">
        <w:rPr>
          <w:rFonts w:ascii="Tahoma" w:hAnsi="Tahoma" w:cs="Tahoma"/>
          <w:sz w:val="22"/>
          <w:szCs w:val="22"/>
        </w:rPr>
        <w:t xml:space="preserve">мало виши </w:t>
      </w:r>
      <w:r w:rsidR="00CB5BFE" w:rsidRPr="001B395D">
        <w:rPr>
          <w:rFonts w:ascii="Tahoma" w:hAnsi="Tahoma" w:cs="Tahoma"/>
          <w:sz w:val="22"/>
          <w:szCs w:val="22"/>
        </w:rPr>
        <w:lastRenderedPageBreak/>
        <w:t>од</w:t>
      </w:r>
      <w:r w:rsidRPr="001B395D">
        <w:rPr>
          <w:rFonts w:ascii="Tahoma" w:hAnsi="Tahoma" w:cs="Tahoma"/>
          <w:sz w:val="22"/>
          <w:szCs w:val="22"/>
        </w:rPr>
        <w:t xml:space="preserve"> просека за подручје Србија-Југ</w:t>
      </w:r>
      <w:r w:rsidR="002B1548">
        <w:rPr>
          <w:rStyle w:val="FootnoteReference"/>
          <w:rFonts w:ascii="Tahoma" w:hAnsi="Tahoma" w:cs="Tahoma"/>
          <w:sz w:val="22"/>
          <w:szCs w:val="22"/>
        </w:rPr>
        <w:footnoteReference w:id="13"/>
      </w:r>
      <w:r w:rsidRPr="001B395D">
        <w:rPr>
          <w:rFonts w:ascii="Tahoma" w:hAnsi="Tahoma" w:cs="Tahoma"/>
          <w:sz w:val="22"/>
          <w:szCs w:val="22"/>
        </w:rPr>
        <w:t xml:space="preserve"> и </w:t>
      </w:r>
      <w:r w:rsidR="00CB5BFE" w:rsidRPr="001B395D">
        <w:rPr>
          <w:rFonts w:ascii="Tahoma" w:hAnsi="Tahoma" w:cs="Tahoma"/>
          <w:sz w:val="22"/>
          <w:szCs w:val="22"/>
        </w:rPr>
        <w:t xml:space="preserve">на </w:t>
      </w:r>
      <w:r w:rsidR="000B3EF6" w:rsidRPr="001B395D">
        <w:rPr>
          <w:rFonts w:ascii="Tahoma" w:hAnsi="Tahoma" w:cs="Tahoma"/>
          <w:sz w:val="22"/>
          <w:szCs w:val="22"/>
        </w:rPr>
        <w:t>нивоу</w:t>
      </w:r>
      <w:r w:rsidR="00CB5BFE" w:rsidRPr="001B395D">
        <w:rPr>
          <w:rFonts w:ascii="Tahoma" w:hAnsi="Tahoma" w:cs="Tahoma"/>
          <w:sz w:val="22"/>
          <w:szCs w:val="22"/>
        </w:rPr>
        <w:t xml:space="preserve"> просека за Подунавску</w:t>
      </w:r>
      <w:r w:rsidRPr="001B395D">
        <w:rPr>
          <w:rFonts w:ascii="Tahoma" w:hAnsi="Tahoma" w:cs="Tahoma"/>
          <w:sz w:val="22"/>
          <w:szCs w:val="22"/>
        </w:rPr>
        <w:t xml:space="preserve"> област. Слична је ситуација и са обухватом вртићког узраста. Међутим, када обухват поредимо са националним циљевима засцртаним за 2030. годину, </w:t>
      </w:r>
      <w:r w:rsidR="000B3EF6" w:rsidRPr="001B395D">
        <w:rPr>
          <w:rFonts w:ascii="Tahoma" w:hAnsi="Tahoma" w:cs="Tahoma"/>
          <w:sz w:val="22"/>
          <w:szCs w:val="22"/>
        </w:rPr>
        <w:t>он</w:t>
      </w:r>
      <w:r w:rsidRPr="001B395D">
        <w:rPr>
          <w:rFonts w:ascii="Tahoma" w:hAnsi="Tahoma" w:cs="Tahoma"/>
          <w:sz w:val="22"/>
          <w:szCs w:val="22"/>
        </w:rPr>
        <w:t xml:space="preserve"> је прилично низак. </w:t>
      </w:r>
      <w:r w:rsidR="000B3EF6" w:rsidRPr="001B395D">
        <w:rPr>
          <w:rFonts w:ascii="Tahoma" w:hAnsi="Tahoma" w:cs="Tahoma"/>
          <w:sz w:val="22"/>
          <w:szCs w:val="22"/>
        </w:rPr>
        <w:t>Обухват</w:t>
      </w:r>
      <w:r w:rsidRPr="001B395D">
        <w:rPr>
          <w:rFonts w:ascii="Tahoma" w:hAnsi="Tahoma" w:cs="Tahoma"/>
          <w:sz w:val="22"/>
          <w:szCs w:val="22"/>
        </w:rPr>
        <w:t xml:space="preserve"> ППП-ом је веома висок, изнад 100%, што може да значи да деца из околних </w:t>
      </w:r>
      <w:r w:rsidR="000B3EF6" w:rsidRPr="001B395D">
        <w:rPr>
          <w:rFonts w:ascii="Tahoma" w:hAnsi="Tahoma" w:cs="Tahoma"/>
          <w:sz w:val="22"/>
          <w:szCs w:val="22"/>
        </w:rPr>
        <w:t>општина</w:t>
      </w:r>
      <w:r w:rsidRPr="001B395D">
        <w:rPr>
          <w:rFonts w:ascii="Tahoma" w:hAnsi="Tahoma" w:cs="Tahoma"/>
          <w:sz w:val="22"/>
          <w:szCs w:val="22"/>
        </w:rPr>
        <w:t xml:space="preserve"> похађају ППП у </w:t>
      </w:r>
      <w:r w:rsidR="00CB5BFE" w:rsidRPr="001B395D">
        <w:rPr>
          <w:rFonts w:ascii="Tahoma" w:hAnsi="Tahoma" w:cs="Tahoma"/>
          <w:sz w:val="22"/>
          <w:szCs w:val="22"/>
        </w:rPr>
        <w:t xml:space="preserve">Смедеревској Паланци. </w:t>
      </w:r>
    </w:p>
    <w:p w:rsidR="00D14306" w:rsidRPr="001B395D" w:rsidRDefault="00D14306" w:rsidP="00CB5BFE">
      <w:pPr>
        <w:spacing w:line="259" w:lineRule="auto"/>
        <w:jc w:val="both"/>
        <w:rPr>
          <w:rFonts w:ascii="Tahoma" w:hAnsi="Tahoma" w:cs="Tahoma"/>
          <w:b/>
          <w:sz w:val="10"/>
          <w:szCs w:val="10"/>
        </w:rPr>
      </w:pPr>
    </w:p>
    <w:p w:rsidR="00CB5BFE" w:rsidRPr="001B395D" w:rsidRDefault="00CB5BFE" w:rsidP="00EE2D68">
      <w:pPr>
        <w:spacing w:after="160" w:line="259" w:lineRule="auto"/>
        <w:jc w:val="both"/>
        <w:rPr>
          <w:rFonts w:ascii="Tahoma" w:hAnsi="Tahoma" w:cs="Tahoma"/>
          <w:bCs/>
          <w:color w:val="2F5496" w:themeColor="accent1" w:themeShade="BF"/>
          <w:sz w:val="22"/>
          <w:szCs w:val="22"/>
        </w:rPr>
      </w:pPr>
    </w:p>
    <w:p w:rsidR="00DB5D24" w:rsidRPr="001B395D" w:rsidRDefault="00F32E11" w:rsidP="00EE2D68">
      <w:pPr>
        <w:spacing w:after="160" w:line="259" w:lineRule="auto"/>
        <w:jc w:val="both"/>
        <w:rPr>
          <w:rFonts w:ascii="Tahoma" w:hAnsi="Tahoma" w:cs="Tahoma"/>
          <w:bCs/>
          <w:color w:val="2F5496"/>
          <w:sz w:val="22"/>
          <w:szCs w:val="22"/>
        </w:rPr>
      </w:pPr>
      <w:r w:rsidRPr="001B395D">
        <w:rPr>
          <w:rFonts w:ascii="Tahoma" w:hAnsi="Tahoma" w:cs="Tahoma"/>
          <w:bCs/>
          <w:color w:val="2F5496" w:themeColor="accent1" w:themeShade="BF"/>
          <w:sz w:val="22"/>
          <w:szCs w:val="22"/>
        </w:rPr>
        <w:t>Графикон</w:t>
      </w:r>
      <w:r w:rsidR="005715A0" w:rsidRPr="001B395D">
        <w:rPr>
          <w:rFonts w:ascii="Tahoma" w:hAnsi="Tahoma" w:cs="Tahoma"/>
          <w:bCs/>
          <w:color w:val="2F5496" w:themeColor="accent1" w:themeShade="BF"/>
          <w:sz w:val="22"/>
          <w:szCs w:val="22"/>
        </w:rPr>
        <w:t>2</w:t>
      </w:r>
      <w:r w:rsidRPr="001B395D">
        <w:rPr>
          <w:rFonts w:ascii="Tahoma" w:hAnsi="Tahoma" w:cs="Tahoma"/>
          <w:bCs/>
          <w:color w:val="2F5496" w:themeColor="accent1" w:themeShade="BF"/>
          <w:sz w:val="22"/>
          <w:szCs w:val="22"/>
        </w:rPr>
        <w:t>. Обухват децеПВО</w:t>
      </w:r>
      <w:r w:rsidR="00DB5D24" w:rsidRPr="001B395D">
        <w:rPr>
          <w:rFonts w:ascii="Tahoma" w:hAnsi="Tahoma" w:cs="Tahoma"/>
          <w:bCs/>
          <w:color w:val="2F5496" w:themeColor="accent1" w:themeShade="BF"/>
          <w:sz w:val="22"/>
          <w:szCs w:val="22"/>
        </w:rPr>
        <w:t xml:space="preserve"> (</w:t>
      </w:r>
      <w:r w:rsidR="00B26A13" w:rsidRPr="001B395D">
        <w:rPr>
          <w:rFonts w:ascii="Tahoma" w:hAnsi="Tahoma" w:cs="Tahoma"/>
          <w:bCs/>
          <w:color w:val="2F5496" w:themeColor="accent1" w:themeShade="BF"/>
          <w:sz w:val="22"/>
          <w:szCs w:val="22"/>
        </w:rPr>
        <w:t xml:space="preserve">у </w:t>
      </w:r>
      <w:r w:rsidR="00DB5D24" w:rsidRPr="001B395D">
        <w:rPr>
          <w:rFonts w:ascii="Tahoma" w:hAnsi="Tahoma" w:cs="Tahoma"/>
          <w:bCs/>
          <w:color w:val="2F5496" w:themeColor="accent1" w:themeShade="BF"/>
          <w:sz w:val="22"/>
          <w:szCs w:val="22"/>
        </w:rPr>
        <w:t xml:space="preserve">%), </w:t>
      </w:r>
      <w:r w:rsidRPr="001B395D">
        <w:rPr>
          <w:rFonts w:ascii="Tahoma" w:hAnsi="Tahoma" w:cs="Tahoma"/>
          <w:bCs/>
          <w:color w:val="2F5496" w:themeColor="accent1" w:themeShade="BF"/>
          <w:sz w:val="22"/>
          <w:szCs w:val="22"/>
        </w:rPr>
        <w:t>пресек</w:t>
      </w:r>
      <w:r w:rsidR="00A7362E" w:rsidRPr="001B395D">
        <w:rPr>
          <w:rFonts w:ascii="Tahoma" w:hAnsi="Tahoma" w:cs="Tahoma"/>
          <w:bCs/>
          <w:color w:val="2F5496" w:themeColor="accent1" w:themeShade="BF"/>
          <w:sz w:val="22"/>
          <w:szCs w:val="22"/>
        </w:rPr>
        <w:t xml:space="preserve">за период </w:t>
      </w:r>
      <w:r w:rsidR="00A05549" w:rsidRPr="001B395D">
        <w:rPr>
          <w:rFonts w:ascii="Tahoma" w:hAnsi="Tahoma" w:cs="Tahoma"/>
          <w:bCs/>
          <w:color w:val="2F5496" w:themeColor="accent1" w:themeShade="BF"/>
          <w:sz w:val="22"/>
          <w:szCs w:val="22"/>
        </w:rPr>
        <w:t>201</w:t>
      </w:r>
      <w:r w:rsidR="002C6BB6" w:rsidRPr="001B395D">
        <w:rPr>
          <w:rFonts w:ascii="Tahoma" w:hAnsi="Tahoma" w:cs="Tahoma"/>
          <w:bCs/>
          <w:color w:val="2F5496" w:themeColor="accent1" w:themeShade="BF"/>
          <w:sz w:val="22"/>
          <w:szCs w:val="22"/>
        </w:rPr>
        <w:t>8</w:t>
      </w:r>
      <w:r w:rsidR="00A05549" w:rsidRPr="001B395D">
        <w:rPr>
          <w:rFonts w:ascii="Tahoma" w:hAnsi="Tahoma" w:cs="Tahoma"/>
          <w:bCs/>
          <w:color w:val="2F5496" w:themeColor="accent1" w:themeShade="BF"/>
          <w:sz w:val="22"/>
          <w:szCs w:val="22"/>
        </w:rPr>
        <w:t>-20</w:t>
      </w:r>
      <w:r w:rsidR="00DA79EA" w:rsidRPr="001B395D">
        <w:rPr>
          <w:rFonts w:ascii="Tahoma" w:hAnsi="Tahoma" w:cs="Tahoma"/>
          <w:bCs/>
          <w:color w:val="2F5496" w:themeColor="accent1" w:themeShade="BF"/>
          <w:sz w:val="22"/>
          <w:szCs w:val="22"/>
        </w:rPr>
        <w:t>20</w:t>
      </w:r>
      <w:r w:rsidR="00A7362E" w:rsidRPr="001B395D">
        <w:rPr>
          <w:rFonts w:ascii="Tahoma" w:hAnsi="Tahoma" w:cs="Tahoma"/>
          <w:bCs/>
          <w:color w:val="2F5496" w:themeColor="accent1" w:themeShade="BF"/>
          <w:sz w:val="22"/>
          <w:szCs w:val="22"/>
        </w:rPr>
        <w:t>.</w:t>
      </w:r>
    </w:p>
    <w:p w:rsidR="000A7C7C" w:rsidRPr="001B395D" w:rsidRDefault="00736EED" w:rsidP="00F711CF">
      <w:pPr>
        <w:jc w:val="center"/>
        <w:rPr>
          <w:b/>
        </w:rPr>
      </w:pPr>
      <w:r w:rsidRPr="001B395D">
        <w:rPr>
          <w:noProof/>
        </w:rPr>
        <w:drawing>
          <wp:inline distT="0" distB="0" distL="0" distR="0">
            <wp:extent cx="5943600" cy="3042285"/>
            <wp:effectExtent l="0" t="0" r="0" b="0"/>
            <wp:docPr id="2" name="Chart 2">
              <a:extLst xmlns:a="http://schemas.openxmlformats.org/drawingml/2006/main">
                <a:ext uri="{FF2B5EF4-FFF2-40B4-BE49-F238E27FC236}">
                  <a16:creationId xmlns:a16="http://schemas.microsoft.com/office/drawing/2014/main" id="{5347BC4F-569F-6844-BE8D-E21F6A2D10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A7C7C" w:rsidRPr="001B395D" w:rsidRDefault="000A7C7C" w:rsidP="003B4A7D">
      <w:pPr>
        <w:spacing w:before="60"/>
      </w:pPr>
      <w:r w:rsidRPr="001B395D">
        <w:rPr>
          <w:rFonts w:ascii="Tahoma" w:hAnsi="Tahoma" w:cs="Tahoma"/>
          <w:sz w:val="18"/>
          <w:szCs w:val="18"/>
        </w:rPr>
        <w:t xml:space="preserve">Извор: </w:t>
      </w:r>
      <w:r w:rsidR="00193A7F" w:rsidRPr="001B395D">
        <w:rPr>
          <w:rFonts w:ascii="Tahoma" w:hAnsi="Tahoma" w:cs="Tahoma"/>
          <w:sz w:val="18"/>
          <w:szCs w:val="18"/>
        </w:rPr>
        <w:t>Тро</w:t>
      </w:r>
      <w:r w:rsidRPr="001B395D">
        <w:rPr>
          <w:rFonts w:ascii="Tahoma" w:hAnsi="Tahoma" w:cs="Tahoma"/>
          <w:sz w:val="18"/>
          <w:szCs w:val="18"/>
        </w:rPr>
        <w:t>годишњи просек калкулација аутора на бази података Републичког завода за статистику, ДевИнфо база</w:t>
      </w:r>
      <w:r w:rsidR="00361404" w:rsidRPr="001B395D">
        <w:rPr>
          <w:rFonts w:ascii="Tahoma" w:eastAsia="Open Sans" w:hAnsi="Tahoma" w:cs="Tahoma"/>
          <w:sz w:val="18"/>
          <w:szCs w:val="18"/>
        </w:rPr>
        <w:t>.</w:t>
      </w:r>
    </w:p>
    <w:p w:rsidR="00DB5D24" w:rsidRPr="001B395D" w:rsidRDefault="00DB5D24" w:rsidP="00F711CF">
      <w:pPr>
        <w:spacing w:after="160" w:line="259" w:lineRule="auto"/>
        <w:jc w:val="both"/>
        <w:rPr>
          <w:rFonts w:ascii="Tahoma" w:hAnsi="Tahoma" w:cs="Tahoma"/>
          <w:sz w:val="10"/>
          <w:szCs w:val="10"/>
        </w:rPr>
      </w:pPr>
    </w:p>
    <w:p w:rsidR="00CB5BFE" w:rsidRPr="001B395D" w:rsidRDefault="00CB5BFE" w:rsidP="00CB5BFE">
      <w:pPr>
        <w:shd w:val="clear" w:color="auto" w:fill="D9E2F3" w:themeFill="accent1" w:themeFillTint="33"/>
        <w:spacing w:after="160" w:line="259" w:lineRule="auto"/>
        <w:jc w:val="both"/>
        <w:textAlignment w:val="center"/>
        <w:rPr>
          <w:rFonts w:ascii="Tahoma" w:hAnsi="Tahoma" w:cs="Tahoma"/>
          <w:b/>
          <w:bCs/>
          <w:smallCaps/>
          <w:color w:val="1F3864" w:themeColor="accent1" w:themeShade="80"/>
          <w:sz w:val="22"/>
          <w:szCs w:val="22"/>
        </w:rPr>
      </w:pPr>
      <w:r w:rsidRPr="001B395D">
        <w:rPr>
          <w:rFonts w:ascii="Tahoma" w:hAnsi="Tahoma" w:cs="Tahoma"/>
          <w:b/>
          <w:bCs/>
          <w:color w:val="1F3864" w:themeColor="accent1" w:themeShade="80"/>
          <w:sz w:val="22"/>
          <w:szCs w:val="22"/>
        </w:rPr>
        <w:t xml:space="preserve">Оквир 3. УН циљеви одрживог развоја – Циљ 4. Обезбедити инклузивно и квалитетно образовање и промовисати могућност целоживотног учења </w:t>
      </w:r>
    </w:p>
    <w:p w:rsidR="00CB5BFE" w:rsidRPr="001B395D" w:rsidRDefault="00CB5BFE" w:rsidP="00CB5BFE">
      <w:pPr>
        <w:shd w:val="clear" w:color="auto" w:fill="D9E2F3" w:themeFill="accent1" w:themeFillTint="33"/>
        <w:spacing w:after="160" w:line="259" w:lineRule="auto"/>
        <w:jc w:val="both"/>
        <w:textAlignment w:val="center"/>
        <w:rPr>
          <w:rFonts w:ascii="Tahoma" w:hAnsi="Tahoma" w:cs="Tahoma"/>
          <w:color w:val="000000" w:themeColor="text1"/>
          <w:sz w:val="22"/>
          <w:szCs w:val="22"/>
        </w:rPr>
      </w:pPr>
      <w:r w:rsidRPr="001B395D">
        <w:rPr>
          <w:rFonts w:ascii="Tahoma" w:hAnsi="Tahoma" w:cs="Tahoma"/>
          <w:color w:val="000000" w:themeColor="text1"/>
          <w:sz w:val="22"/>
          <w:szCs w:val="22"/>
        </w:rPr>
        <w:t xml:space="preserve">У контексту УН циљева одрживог раста, </w:t>
      </w:r>
      <w:r w:rsidRPr="001B395D">
        <w:rPr>
          <w:rFonts w:ascii="Tahoma" w:hAnsi="Tahoma" w:cs="Tahoma"/>
          <w:i/>
          <w:iCs/>
          <w:color w:val="000000" w:themeColor="text1"/>
          <w:sz w:val="22"/>
          <w:szCs w:val="22"/>
        </w:rPr>
        <w:t>потциљ 4.2 До краја 2030. обезбедити да све девојчице и дечаци имају приступ квалитетном развоју у раном детињству, бризи и предшколском образовању како би се припремили за основно образовање</w:t>
      </w:r>
      <w:r w:rsidRPr="001B395D">
        <w:rPr>
          <w:rFonts w:ascii="Tahoma" w:hAnsi="Tahoma" w:cs="Tahoma"/>
          <w:color w:val="000000" w:themeColor="text1"/>
          <w:sz w:val="22"/>
          <w:szCs w:val="22"/>
        </w:rPr>
        <w:t xml:space="preserve"> посебно је важан за ниво локалних самоуправа. </w:t>
      </w:r>
    </w:p>
    <w:p w:rsidR="00CB5BFE" w:rsidRPr="001B395D" w:rsidRDefault="00CB5BFE" w:rsidP="00CB5BFE">
      <w:pPr>
        <w:shd w:val="clear" w:color="auto" w:fill="D9E2F3" w:themeFill="accent1" w:themeFillTint="33"/>
        <w:spacing w:after="160" w:line="259" w:lineRule="auto"/>
        <w:jc w:val="both"/>
        <w:textAlignment w:val="center"/>
        <w:rPr>
          <w:rFonts w:ascii="Tahoma" w:hAnsi="Tahoma" w:cs="Tahoma"/>
          <w:color w:val="000000" w:themeColor="text1"/>
          <w:sz w:val="22"/>
          <w:szCs w:val="22"/>
        </w:rPr>
      </w:pPr>
      <w:r w:rsidRPr="001B395D">
        <w:rPr>
          <w:rFonts w:ascii="Tahoma" w:hAnsi="Tahoma" w:cs="Tahoma"/>
          <w:color w:val="000000" w:themeColor="text1"/>
          <w:sz w:val="22"/>
          <w:szCs w:val="22"/>
        </w:rPr>
        <w:t xml:space="preserve">Национални циљеви дефинисани Стратегијом образовања 2030. су повећање обухвата и доступности ПВО на 38% за јаслени узраст, 75% за узраст од 3-5,5 (полазак у ППП) и обухват 98% ППП-ом. И поред стабилног раста, oбухват деце ПВО је и даље испод просека ЕУ и постављених националних циљева а посебан проблем је повећање обухвата на уштрб квалитета. </w:t>
      </w:r>
    </w:p>
    <w:p w:rsidR="00CB5BFE" w:rsidRPr="001B395D" w:rsidRDefault="00CB5BFE" w:rsidP="00CB5BFE">
      <w:pPr>
        <w:shd w:val="clear" w:color="auto" w:fill="D9E2F3" w:themeFill="accent1" w:themeFillTint="33"/>
        <w:spacing w:after="160" w:line="259" w:lineRule="auto"/>
        <w:jc w:val="both"/>
        <w:textAlignment w:val="center"/>
        <w:rPr>
          <w:rFonts w:ascii="Tahoma" w:hAnsi="Tahoma" w:cs="Tahoma"/>
          <w:color w:val="000000" w:themeColor="text1"/>
          <w:sz w:val="22"/>
          <w:szCs w:val="22"/>
        </w:rPr>
      </w:pPr>
      <w:r w:rsidRPr="001B395D">
        <w:rPr>
          <w:rFonts w:ascii="Tahoma" w:hAnsi="Tahoma" w:cs="Tahoma"/>
          <w:color w:val="000000" w:themeColor="text1"/>
          <w:sz w:val="22"/>
          <w:szCs w:val="22"/>
        </w:rPr>
        <w:lastRenderedPageBreak/>
        <w:t xml:space="preserve">Поред већ дефинисаног индикатора 4.2.2 Стопа учешћа у организованом учењу (годину дана пре званичног узраста за упис у основну школу), што је заправо обухват ППП-ом (припремним предшколским програмом), треба посматрати и индикаторе обухвата деце током читавог ПВО, од јасленог узраста до ППП. </w:t>
      </w:r>
    </w:p>
    <w:p w:rsidR="00CB5BFE" w:rsidRPr="001B395D" w:rsidRDefault="00CB5BFE" w:rsidP="00CB5BFE">
      <w:pPr>
        <w:shd w:val="clear" w:color="auto" w:fill="D9E2F3" w:themeFill="accent1" w:themeFillTint="33"/>
        <w:spacing w:after="160" w:line="259" w:lineRule="auto"/>
        <w:jc w:val="both"/>
        <w:textAlignment w:val="center"/>
        <w:rPr>
          <w:rFonts w:ascii="Tahoma" w:hAnsi="Tahoma" w:cs="Tahoma"/>
          <w:color w:val="000000" w:themeColor="text1"/>
          <w:sz w:val="22"/>
          <w:szCs w:val="22"/>
          <w:u w:val="single"/>
        </w:rPr>
      </w:pPr>
      <w:r w:rsidRPr="001B395D">
        <w:rPr>
          <w:rFonts w:ascii="Tahoma" w:hAnsi="Tahoma" w:cs="Tahoma"/>
          <w:color w:val="000000" w:themeColor="text1"/>
          <w:sz w:val="22"/>
          <w:szCs w:val="22"/>
          <w:u w:val="single"/>
        </w:rPr>
        <w:t>Локални циљеви:</w:t>
      </w:r>
    </w:p>
    <w:p w:rsidR="00CB5BFE" w:rsidRPr="001B395D" w:rsidRDefault="00CB5BFE" w:rsidP="00CB5BFE">
      <w:pPr>
        <w:pStyle w:val="ListParagraph"/>
        <w:numPr>
          <w:ilvl w:val="0"/>
          <w:numId w:val="4"/>
        </w:numPr>
        <w:shd w:val="clear" w:color="auto" w:fill="D9E2F3" w:themeFill="accent1" w:themeFillTint="33"/>
        <w:spacing w:after="80" w:line="259" w:lineRule="auto"/>
        <w:ind w:left="357" w:hanging="357"/>
        <w:contextualSpacing w:val="0"/>
        <w:jc w:val="both"/>
        <w:textAlignment w:val="center"/>
        <w:rPr>
          <w:rFonts w:ascii="Tahoma" w:hAnsi="Tahoma" w:cs="Tahoma"/>
          <w:color w:val="000000" w:themeColor="text1"/>
          <w:sz w:val="22"/>
          <w:szCs w:val="22"/>
        </w:rPr>
      </w:pPr>
      <w:r w:rsidRPr="001B395D">
        <w:rPr>
          <w:rFonts w:ascii="Tahoma" w:hAnsi="Tahoma" w:cs="Tahoma"/>
          <w:color w:val="000000" w:themeColor="text1"/>
          <w:sz w:val="22"/>
          <w:szCs w:val="22"/>
        </w:rPr>
        <w:t xml:space="preserve">Повећање обухвата деце јасленог узраста </w:t>
      </w:r>
      <w:r w:rsidRPr="001B395D">
        <w:rPr>
          <w:rFonts w:ascii="Tahoma" w:hAnsi="Tahoma" w:cs="Tahoma"/>
          <w:b/>
          <w:color w:val="1F3864" w:themeColor="accent1" w:themeShade="80"/>
          <w:sz w:val="22"/>
          <w:szCs w:val="22"/>
        </w:rPr>
        <w:t>на преко 30% до 2030. године</w:t>
      </w:r>
      <w:r w:rsidRPr="001B395D">
        <w:rPr>
          <w:rFonts w:ascii="Tahoma" w:hAnsi="Tahoma" w:cs="Tahoma"/>
          <w:b/>
          <w:color w:val="2F5496" w:themeColor="accent1" w:themeShade="BF"/>
          <w:sz w:val="22"/>
          <w:szCs w:val="22"/>
        </w:rPr>
        <w:t>;</w:t>
      </w:r>
    </w:p>
    <w:p w:rsidR="00CB5BFE" w:rsidRPr="001B395D" w:rsidRDefault="00CB5BFE" w:rsidP="00CB5BFE">
      <w:pPr>
        <w:pStyle w:val="ListParagraph"/>
        <w:numPr>
          <w:ilvl w:val="0"/>
          <w:numId w:val="4"/>
        </w:numPr>
        <w:shd w:val="clear" w:color="auto" w:fill="D9E2F3" w:themeFill="accent1" w:themeFillTint="33"/>
        <w:spacing w:after="80" w:line="259" w:lineRule="auto"/>
        <w:ind w:left="357" w:hanging="357"/>
        <w:contextualSpacing w:val="0"/>
        <w:jc w:val="both"/>
        <w:textAlignment w:val="center"/>
        <w:rPr>
          <w:rFonts w:ascii="Tahoma" w:hAnsi="Tahoma" w:cs="Tahoma"/>
          <w:color w:val="000000" w:themeColor="text1"/>
          <w:sz w:val="22"/>
          <w:szCs w:val="22"/>
        </w:rPr>
      </w:pPr>
      <w:r w:rsidRPr="001B395D">
        <w:rPr>
          <w:rFonts w:ascii="Tahoma" w:hAnsi="Tahoma" w:cs="Tahoma"/>
          <w:color w:val="000000" w:themeColor="text1"/>
          <w:sz w:val="22"/>
          <w:szCs w:val="22"/>
        </w:rPr>
        <w:t xml:space="preserve">Повећање обухвата деце вртићког узраста </w:t>
      </w:r>
      <w:r w:rsidRPr="001B395D">
        <w:rPr>
          <w:rFonts w:ascii="Tahoma" w:hAnsi="Tahoma" w:cs="Tahoma"/>
          <w:b/>
          <w:color w:val="1F3864" w:themeColor="accent1" w:themeShade="80"/>
          <w:sz w:val="22"/>
          <w:szCs w:val="22"/>
        </w:rPr>
        <w:t>на преко 70 % до 2030. године</w:t>
      </w:r>
      <w:r w:rsidRPr="001B395D">
        <w:rPr>
          <w:rFonts w:ascii="Tahoma" w:hAnsi="Tahoma" w:cs="Tahoma"/>
          <w:b/>
          <w:color w:val="2F5496" w:themeColor="accent1" w:themeShade="BF"/>
          <w:sz w:val="22"/>
          <w:szCs w:val="22"/>
        </w:rPr>
        <w:t>;</w:t>
      </w:r>
    </w:p>
    <w:p w:rsidR="00CB5BFE" w:rsidRPr="001B395D" w:rsidRDefault="00CB5BFE" w:rsidP="00CB5BFE">
      <w:pPr>
        <w:pStyle w:val="ListParagraph"/>
        <w:numPr>
          <w:ilvl w:val="0"/>
          <w:numId w:val="4"/>
        </w:numPr>
        <w:shd w:val="clear" w:color="auto" w:fill="D9E2F3" w:themeFill="accent1" w:themeFillTint="33"/>
        <w:spacing w:after="80" w:line="259" w:lineRule="auto"/>
        <w:ind w:left="357" w:hanging="357"/>
        <w:contextualSpacing w:val="0"/>
        <w:jc w:val="both"/>
        <w:textAlignment w:val="center"/>
        <w:rPr>
          <w:rFonts w:ascii="Tahoma" w:hAnsi="Tahoma" w:cs="Tahoma"/>
          <w:color w:val="000000" w:themeColor="text1"/>
          <w:sz w:val="22"/>
          <w:szCs w:val="22"/>
        </w:rPr>
      </w:pPr>
      <w:r w:rsidRPr="001B395D">
        <w:rPr>
          <w:rFonts w:ascii="Tahoma" w:hAnsi="Tahoma" w:cs="Tahoma"/>
          <w:color w:val="000000" w:themeColor="text1"/>
          <w:sz w:val="22"/>
          <w:szCs w:val="22"/>
        </w:rPr>
        <w:t>Повећање правичности – већи обухват деце из руралних и ромских насеља као и деце са сметњама у развоју.</w:t>
      </w:r>
    </w:p>
    <w:p w:rsidR="00CB5BFE" w:rsidRPr="001B395D" w:rsidRDefault="00CB5BFE" w:rsidP="00CB5BFE">
      <w:pPr>
        <w:pStyle w:val="ListParagraph"/>
        <w:numPr>
          <w:ilvl w:val="0"/>
          <w:numId w:val="4"/>
        </w:numPr>
        <w:shd w:val="clear" w:color="auto" w:fill="D9E2F3" w:themeFill="accent1" w:themeFillTint="33"/>
        <w:spacing w:after="80" w:line="259" w:lineRule="auto"/>
        <w:ind w:left="357" w:hanging="357"/>
        <w:contextualSpacing w:val="0"/>
        <w:jc w:val="both"/>
        <w:textAlignment w:val="center"/>
        <w:rPr>
          <w:rFonts w:ascii="Tahoma" w:hAnsi="Tahoma" w:cs="Tahoma"/>
          <w:b/>
          <w:color w:val="1F3864" w:themeColor="accent1" w:themeShade="80"/>
          <w:sz w:val="22"/>
          <w:szCs w:val="22"/>
        </w:rPr>
      </w:pPr>
      <w:r w:rsidRPr="001B395D">
        <w:rPr>
          <w:rFonts w:ascii="Tahoma" w:hAnsi="Tahoma" w:cs="Tahoma"/>
          <w:b/>
          <w:color w:val="1F3864" w:themeColor="accent1" w:themeShade="80"/>
          <w:sz w:val="22"/>
          <w:szCs w:val="22"/>
        </w:rPr>
        <w:t>Потпуни обухват ППП-ом укључујући и маргинализоване групе;</w:t>
      </w:r>
    </w:p>
    <w:p w:rsidR="00CB5BFE" w:rsidRPr="001B395D" w:rsidRDefault="00CB5BFE" w:rsidP="00CB5BFE">
      <w:pPr>
        <w:shd w:val="clear" w:color="auto" w:fill="D9E2F3" w:themeFill="accent1" w:themeFillTint="33"/>
        <w:spacing w:after="160" w:line="259" w:lineRule="auto"/>
        <w:jc w:val="both"/>
        <w:textAlignment w:val="center"/>
        <w:rPr>
          <w:rFonts w:ascii="Tahoma" w:hAnsi="Tahoma" w:cs="Tahoma"/>
          <w:color w:val="000000" w:themeColor="text1"/>
          <w:sz w:val="22"/>
          <w:szCs w:val="22"/>
          <w:u w:val="single"/>
        </w:rPr>
      </w:pPr>
      <w:r w:rsidRPr="001B395D">
        <w:rPr>
          <w:rFonts w:ascii="Tahoma" w:hAnsi="Tahoma" w:cs="Tahoma"/>
          <w:color w:val="000000" w:themeColor="text1"/>
          <w:sz w:val="22"/>
          <w:szCs w:val="22"/>
          <w:u w:val="single"/>
        </w:rPr>
        <w:t>Потребне локалне иницијативе:</w:t>
      </w:r>
    </w:p>
    <w:p w:rsidR="00CB5BFE" w:rsidRPr="001B395D" w:rsidRDefault="00CB5BFE" w:rsidP="00CB5BFE">
      <w:pPr>
        <w:pStyle w:val="ListParagraph"/>
        <w:numPr>
          <w:ilvl w:val="0"/>
          <w:numId w:val="5"/>
        </w:numPr>
        <w:shd w:val="clear" w:color="auto" w:fill="D9E2F3" w:themeFill="accent1" w:themeFillTint="33"/>
        <w:spacing w:after="80" w:line="259" w:lineRule="auto"/>
        <w:ind w:left="357" w:hanging="357"/>
        <w:contextualSpacing w:val="0"/>
        <w:jc w:val="both"/>
        <w:textAlignment w:val="center"/>
        <w:rPr>
          <w:rFonts w:ascii="Tahoma" w:hAnsi="Tahoma" w:cs="Tahoma"/>
          <w:color w:val="000000" w:themeColor="text1"/>
          <w:sz w:val="22"/>
          <w:szCs w:val="22"/>
        </w:rPr>
      </w:pPr>
      <w:r w:rsidRPr="001B395D">
        <w:rPr>
          <w:rFonts w:ascii="Tahoma" w:hAnsi="Tahoma" w:cs="Tahoma"/>
          <w:color w:val="000000" w:themeColor="text1"/>
          <w:sz w:val="22"/>
          <w:szCs w:val="22"/>
        </w:rPr>
        <w:t>Проширење јаслених капацитета;</w:t>
      </w:r>
    </w:p>
    <w:p w:rsidR="00CB5BFE" w:rsidRPr="001B395D" w:rsidRDefault="00CB5BFE" w:rsidP="00CB5BFE">
      <w:pPr>
        <w:pStyle w:val="ListParagraph"/>
        <w:numPr>
          <w:ilvl w:val="0"/>
          <w:numId w:val="5"/>
        </w:numPr>
        <w:shd w:val="clear" w:color="auto" w:fill="D9E2F3" w:themeFill="accent1" w:themeFillTint="33"/>
        <w:spacing w:after="80" w:line="259" w:lineRule="auto"/>
        <w:ind w:left="357" w:hanging="357"/>
        <w:contextualSpacing w:val="0"/>
        <w:jc w:val="both"/>
        <w:textAlignment w:val="center"/>
        <w:rPr>
          <w:rFonts w:ascii="Tahoma" w:hAnsi="Tahoma" w:cs="Tahoma"/>
          <w:color w:val="000000" w:themeColor="text1"/>
          <w:sz w:val="22"/>
          <w:szCs w:val="22"/>
        </w:rPr>
      </w:pPr>
      <w:r w:rsidRPr="001B395D">
        <w:rPr>
          <w:rFonts w:ascii="Tahoma" w:hAnsi="Tahoma" w:cs="Tahoma"/>
          <w:color w:val="000000" w:themeColor="text1"/>
          <w:sz w:val="22"/>
          <w:szCs w:val="22"/>
        </w:rPr>
        <w:t>Прош</w:t>
      </w:r>
      <w:r w:rsidR="00DE79E8">
        <w:rPr>
          <w:rFonts w:ascii="Tahoma" w:hAnsi="Tahoma" w:cs="Tahoma"/>
          <w:color w:val="000000" w:themeColor="text1"/>
          <w:sz w:val="22"/>
          <w:szCs w:val="22"/>
        </w:rPr>
        <w:t>и</w:t>
      </w:r>
      <w:r w:rsidRPr="001B395D">
        <w:rPr>
          <w:rFonts w:ascii="Tahoma" w:hAnsi="Tahoma" w:cs="Tahoma"/>
          <w:color w:val="000000" w:themeColor="text1"/>
          <w:sz w:val="22"/>
          <w:szCs w:val="22"/>
        </w:rPr>
        <w:t>рење вртићких капацитета;</w:t>
      </w:r>
    </w:p>
    <w:p w:rsidR="00CB5BFE" w:rsidRPr="001B395D" w:rsidRDefault="00CB5BFE" w:rsidP="00CB5BFE">
      <w:pPr>
        <w:pStyle w:val="ListParagraph"/>
        <w:numPr>
          <w:ilvl w:val="0"/>
          <w:numId w:val="5"/>
        </w:numPr>
        <w:shd w:val="clear" w:color="auto" w:fill="D9E2F3" w:themeFill="accent1" w:themeFillTint="33"/>
        <w:spacing w:after="80" w:line="259" w:lineRule="auto"/>
        <w:ind w:left="357" w:hanging="357"/>
        <w:contextualSpacing w:val="0"/>
        <w:jc w:val="both"/>
        <w:textAlignment w:val="center"/>
        <w:rPr>
          <w:rFonts w:ascii="Tahoma" w:hAnsi="Tahoma" w:cs="Tahoma"/>
          <w:color w:val="000000" w:themeColor="text1"/>
          <w:sz w:val="22"/>
          <w:szCs w:val="22"/>
        </w:rPr>
      </w:pPr>
      <w:r w:rsidRPr="001B395D">
        <w:rPr>
          <w:rFonts w:ascii="Tahoma" w:hAnsi="Tahoma" w:cs="Tahoma"/>
          <w:color w:val="000000" w:themeColor="text1"/>
          <w:sz w:val="22"/>
          <w:szCs w:val="22"/>
        </w:rPr>
        <w:t>Увођење полудневних програма и других флексиби</w:t>
      </w:r>
      <w:r w:rsidR="00DE79E8">
        <w:rPr>
          <w:rFonts w:ascii="Tahoma" w:hAnsi="Tahoma" w:cs="Tahoma"/>
          <w:color w:val="000000" w:themeColor="text1"/>
          <w:sz w:val="22"/>
          <w:szCs w:val="22"/>
        </w:rPr>
        <w:t>л</w:t>
      </w:r>
      <w:r w:rsidRPr="001B395D">
        <w:rPr>
          <w:rFonts w:ascii="Tahoma" w:hAnsi="Tahoma" w:cs="Tahoma"/>
          <w:color w:val="000000" w:themeColor="text1"/>
          <w:sz w:val="22"/>
          <w:szCs w:val="22"/>
        </w:rPr>
        <w:t>них програма;</w:t>
      </w:r>
    </w:p>
    <w:p w:rsidR="00CB5BFE" w:rsidRPr="001B395D" w:rsidRDefault="00CB5BFE" w:rsidP="00CB5BFE">
      <w:pPr>
        <w:pStyle w:val="ListParagraph"/>
        <w:numPr>
          <w:ilvl w:val="0"/>
          <w:numId w:val="5"/>
        </w:numPr>
        <w:shd w:val="clear" w:color="auto" w:fill="D9E2F3" w:themeFill="accent1" w:themeFillTint="33"/>
        <w:spacing w:after="80" w:line="259" w:lineRule="auto"/>
        <w:ind w:left="357" w:hanging="357"/>
        <w:contextualSpacing w:val="0"/>
        <w:jc w:val="both"/>
        <w:textAlignment w:val="center"/>
        <w:rPr>
          <w:rFonts w:ascii="Tahoma" w:hAnsi="Tahoma" w:cs="Tahoma"/>
          <w:bCs/>
          <w:color w:val="000000" w:themeColor="text1"/>
          <w:sz w:val="22"/>
          <w:szCs w:val="22"/>
        </w:rPr>
      </w:pPr>
      <w:r w:rsidRPr="001B395D">
        <w:rPr>
          <w:rFonts w:ascii="Tahoma" w:hAnsi="Tahoma" w:cs="Tahoma"/>
          <w:color w:val="000000" w:themeColor="text1"/>
          <w:sz w:val="22"/>
          <w:szCs w:val="22"/>
        </w:rPr>
        <w:t>Кампања подизања свести значаја ПВО.</w:t>
      </w:r>
    </w:p>
    <w:p w:rsidR="00CB5BFE" w:rsidRPr="001B395D" w:rsidRDefault="00CB5BFE" w:rsidP="00CB5BFE">
      <w:pPr>
        <w:shd w:val="clear" w:color="auto" w:fill="D9E2F3" w:themeFill="accent1" w:themeFillTint="33"/>
        <w:spacing w:line="259" w:lineRule="auto"/>
        <w:jc w:val="both"/>
        <w:textAlignment w:val="center"/>
        <w:rPr>
          <w:rFonts w:ascii="Tahoma" w:hAnsi="Tahoma" w:cs="Tahoma"/>
          <w:bCs/>
          <w:color w:val="000000" w:themeColor="text1"/>
          <w:sz w:val="10"/>
          <w:szCs w:val="10"/>
        </w:rPr>
      </w:pPr>
    </w:p>
    <w:p w:rsidR="00CB5BFE" w:rsidRPr="001B395D" w:rsidRDefault="00CB5BFE" w:rsidP="00CB5BFE">
      <w:pPr>
        <w:spacing w:after="80" w:line="259" w:lineRule="auto"/>
        <w:jc w:val="both"/>
        <w:rPr>
          <w:rFonts w:ascii="Tahoma" w:hAnsi="Tahoma" w:cs="Tahoma"/>
          <w:sz w:val="10"/>
          <w:szCs w:val="10"/>
        </w:rPr>
      </w:pPr>
    </w:p>
    <w:p w:rsidR="00BA290F" w:rsidRPr="001B395D" w:rsidRDefault="00BA290F" w:rsidP="00F676D5">
      <w:pPr>
        <w:spacing w:after="80" w:line="259" w:lineRule="auto"/>
        <w:jc w:val="both"/>
        <w:rPr>
          <w:rFonts w:ascii="Tahoma" w:hAnsi="Tahoma" w:cs="Tahoma"/>
          <w:sz w:val="10"/>
          <w:szCs w:val="10"/>
        </w:rPr>
      </w:pPr>
    </w:p>
    <w:p w:rsidR="00B406FE" w:rsidRPr="001B395D" w:rsidRDefault="00C47944" w:rsidP="00361404">
      <w:pPr>
        <w:spacing w:after="160" w:line="259" w:lineRule="auto"/>
        <w:jc w:val="both"/>
        <w:rPr>
          <w:rFonts w:ascii="Tahoma" w:hAnsi="Tahoma" w:cs="Tahoma"/>
          <w:sz w:val="22"/>
          <w:szCs w:val="22"/>
        </w:rPr>
      </w:pPr>
      <w:r w:rsidRPr="001B395D">
        <w:rPr>
          <w:rFonts w:ascii="Tahoma" w:hAnsi="Tahoma" w:cs="Tahoma"/>
          <w:b/>
          <w:color w:val="2F5496" w:themeColor="accent1" w:themeShade="BF"/>
          <w:sz w:val="22"/>
          <w:szCs w:val="22"/>
        </w:rPr>
        <w:t xml:space="preserve">Капацитети ПВО у односу на исказану тражњу </w:t>
      </w:r>
      <w:r w:rsidR="00FE6A87" w:rsidRPr="001B395D">
        <w:rPr>
          <w:rFonts w:ascii="Tahoma" w:hAnsi="Tahoma" w:cs="Tahoma"/>
          <w:b/>
          <w:color w:val="2F5496" w:themeColor="accent1" w:themeShade="BF"/>
          <w:sz w:val="22"/>
          <w:szCs w:val="22"/>
        </w:rPr>
        <w:t xml:space="preserve">делују </w:t>
      </w:r>
      <w:r w:rsidRPr="001B395D">
        <w:rPr>
          <w:rFonts w:ascii="Tahoma" w:hAnsi="Tahoma" w:cs="Tahoma"/>
          <w:b/>
          <w:color w:val="2F5496" w:themeColor="accent1" w:themeShade="BF"/>
          <w:sz w:val="22"/>
          <w:szCs w:val="22"/>
        </w:rPr>
        <w:t>довољн</w:t>
      </w:r>
      <w:r w:rsidR="00FE6A87" w:rsidRPr="001B395D">
        <w:rPr>
          <w:rFonts w:ascii="Tahoma" w:hAnsi="Tahoma" w:cs="Tahoma"/>
          <w:b/>
          <w:color w:val="2F5496" w:themeColor="accent1" w:themeShade="BF"/>
          <w:sz w:val="22"/>
          <w:szCs w:val="22"/>
        </w:rPr>
        <w:t>о</w:t>
      </w:r>
      <w:r w:rsidR="00FE6A87" w:rsidRPr="001B395D">
        <w:rPr>
          <w:rFonts w:ascii="Tahoma" w:hAnsi="Tahoma" w:cs="Tahoma"/>
          <w:sz w:val="22"/>
          <w:szCs w:val="22"/>
        </w:rPr>
        <w:t xml:space="preserve"> обзиром да нема уписаних преко капацитета и деце која нису примљена. Међутим, према Елаборату јавних ПУ и ОШ</w:t>
      </w:r>
      <w:r w:rsidR="00FF4024" w:rsidRPr="001B395D">
        <w:rPr>
          <w:rFonts w:ascii="Tahoma" w:hAnsi="Tahoma" w:cs="Tahoma"/>
          <w:sz w:val="22"/>
          <w:szCs w:val="22"/>
        </w:rPr>
        <w:t>,</w:t>
      </w:r>
      <w:r w:rsidR="00FE6A87" w:rsidRPr="001B395D">
        <w:rPr>
          <w:rFonts w:ascii="Tahoma" w:hAnsi="Tahoma" w:cs="Tahoma"/>
          <w:sz w:val="22"/>
          <w:szCs w:val="22"/>
        </w:rPr>
        <w:t xml:space="preserve"> подаци и даље указују на то да су потребе породица за смештајем деце у целодневни боравак изнад капацитета. Потреба за смештајем деце у вртић је највећа у градским објектима и објектима у Азањи, Кусатку и Селевцу где се користе сви расположиви простори и искоришћена је законска могућност до 20% већег броја деце у групи</w:t>
      </w:r>
      <w:r w:rsidR="00BD0E65" w:rsidRPr="001B395D">
        <w:rPr>
          <w:rStyle w:val="FootnoteReference"/>
          <w:rFonts w:ascii="Tahoma" w:hAnsi="Tahoma" w:cs="Tahoma"/>
          <w:sz w:val="22"/>
          <w:szCs w:val="22"/>
        </w:rPr>
        <w:footnoteReference w:id="14"/>
      </w:r>
      <w:r w:rsidR="00BD0E65" w:rsidRPr="001B395D">
        <w:rPr>
          <w:rFonts w:ascii="Tahoma" w:hAnsi="Tahoma" w:cs="Tahoma"/>
          <w:sz w:val="22"/>
          <w:szCs w:val="22"/>
        </w:rPr>
        <w:t>.</w:t>
      </w:r>
    </w:p>
    <w:p w:rsidR="003D4D54" w:rsidRPr="003D4D54" w:rsidRDefault="00B406FE" w:rsidP="003D4D54">
      <w:pPr>
        <w:pStyle w:val="CommentText"/>
        <w:spacing w:line="259" w:lineRule="auto"/>
        <w:jc w:val="both"/>
        <w:rPr>
          <w:rFonts w:ascii="Tahoma" w:hAnsi="Tahoma" w:cs="Tahoma"/>
          <w:sz w:val="22"/>
          <w:szCs w:val="22"/>
        </w:rPr>
      </w:pPr>
      <w:r w:rsidRPr="003D4D54">
        <w:rPr>
          <w:rFonts w:ascii="Tahoma" w:hAnsi="Tahoma" w:cs="Tahoma"/>
          <w:sz w:val="22"/>
          <w:szCs w:val="22"/>
        </w:rPr>
        <w:t>Капацитети се састоје од једне јавне предшколске установе која у оквиру своје мреже има пет објеката у седишту општине, а осталих пет су у селима Селевац, Азања, Кусадак, Голобок и Баничина. ППП се у селима Ратари, Глибовац, Церовац, Придворице, Влашки До, Грчац, Мала Плана и Водице, реализује се у просторима основних школа, месних заједница и учитељским становима који су за потребе деце адаптирани. Јако је добро што к</w:t>
      </w:r>
      <w:r w:rsidR="00C47944" w:rsidRPr="003D4D54">
        <w:rPr>
          <w:rFonts w:ascii="Tahoma" w:hAnsi="Tahoma" w:cs="Tahoma"/>
          <w:sz w:val="22"/>
          <w:szCs w:val="22"/>
        </w:rPr>
        <w:t xml:space="preserve">апацитети ПВО у </w:t>
      </w:r>
      <w:r w:rsidRPr="003D4D54">
        <w:rPr>
          <w:rFonts w:ascii="Tahoma" w:hAnsi="Tahoma" w:cs="Tahoma"/>
          <w:sz w:val="22"/>
          <w:szCs w:val="22"/>
        </w:rPr>
        <w:t>сеоским (осталим)</w:t>
      </w:r>
      <w:r w:rsidR="00C47944" w:rsidRPr="003D4D54">
        <w:rPr>
          <w:rFonts w:ascii="Tahoma" w:hAnsi="Tahoma" w:cs="Tahoma"/>
          <w:sz w:val="22"/>
          <w:szCs w:val="22"/>
        </w:rPr>
        <w:t xml:space="preserve"> насељима</w:t>
      </w:r>
      <w:r w:rsidRPr="003D4D54">
        <w:rPr>
          <w:rFonts w:ascii="Tahoma" w:hAnsi="Tahoma" w:cs="Tahoma"/>
          <w:sz w:val="22"/>
          <w:szCs w:val="22"/>
        </w:rPr>
        <w:t>,</w:t>
      </w:r>
      <w:r w:rsidR="00C47944" w:rsidRPr="003D4D54">
        <w:rPr>
          <w:rFonts w:ascii="Tahoma" w:hAnsi="Tahoma" w:cs="Tahoma"/>
          <w:sz w:val="22"/>
          <w:szCs w:val="22"/>
        </w:rPr>
        <w:t xml:space="preserve"> питање </w:t>
      </w:r>
      <w:r w:rsidRPr="003D4D54">
        <w:rPr>
          <w:rFonts w:ascii="Tahoma" w:hAnsi="Tahoma" w:cs="Tahoma"/>
          <w:sz w:val="22"/>
          <w:szCs w:val="22"/>
        </w:rPr>
        <w:t xml:space="preserve">је само </w:t>
      </w:r>
      <w:r w:rsidR="00C47944" w:rsidRPr="003D4D54">
        <w:rPr>
          <w:rFonts w:ascii="Tahoma" w:hAnsi="Tahoma" w:cs="Tahoma"/>
          <w:sz w:val="22"/>
          <w:szCs w:val="22"/>
        </w:rPr>
        <w:t>колики је проценат деце њиме обухваћен</w:t>
      </w:r>
      <w:r w:rsidR="001440CB" w:rsidRPr="003D4D54">
        <w:rPr>
          <w:rFonts w:ascii="Tahoma" w:hAnsi="Tahoma" w:cs="Tahoma"/>
          <w:sz w:val="22"/>
          <w:szCs w:val="22"/>
        </w:rPr>
        <w:t xml:space="preserve"> а постоје и сеоске средине у којима нема капацитета</w:t>
      </w:r>
      <w:bookmarkStart w:id="0" w:name="_GoBack"/>
      <w:bookmarkEnd w:id="0"/>
      <w:r w:rsidR="003D4D54" w:rsidRPr="003D4D54">
        <w:rPr>
          <w:rFonts w:ascii="Tahoma" w:hAnsi="Tahoma" w:cs="Tahoma"/>
          <w:sz w:val="22"/>
          <w:szCs w:val="22"/>
        </w:rPr>
        <w:t xml:space="preserve"> </w:t>
      </w:r>
      <w:r w:rsidR="003D4D54" w:rsidRPr="003D4D54">
        <w:rPr>
          <w:rFonts w:ascii="Tahoma" w:hAnsi="Tahoma" w:cs="Tahoma"/>
          <w:sz w:val="22"/>
          <w:szCs w:val="22"/>
          <w:lang w:val="sr-Cyrl-RS"/>
        </w:rPr>
        <w:t xml:space="preserve">с тим што </w:t>
      </w:r>
      <w:r w:rsidR="00CB675D">
        <w:rPr>
          <w:rFonts w:ascii="Tahoma" w:hAnsi="Tahoma" w:cs="Tahoma"/>
          <w:sz w:val="22"/>
          <w:szCs w:val="22"/>
        </w:rPr>
        <w:t>je u</w:t>
      </w:r>
      <w:r w:rsidR="003D4D54" w:rsidRPr="003D4D54">
        <w:rPr>
          <w:rFonts w:ascii="Tahoma" w:hAnsi="Tahoma" w:cs="Tahoma"/>
          <w:sz w:val="22"/>
          <w:szCs w:val="22"/>
        </w:rPr>
        <w:t xml:space="preserve"> тим срединама деци која желе да похађају вртић омогућено похађање на тај начин што им је обезбеђен превоз до најближег вртића од места становања.</w:t>
      </w:r>
    </w:p>
    <w:p w:rsidR="003D4D54" w:rsidRDefault="003D4D54" w:rsidP="003D4D54">
      <w:pPr>
        <w:pStyle w:val="CommentText"/>
      </w:pPr>
    </w:p>
    <w:p w:rsidR="003D4D54" w:rsidRPr="00D84132" w:rsidRDefault="003D4D54" w:rsidP="003D4D54">
      <w:pPr>
        <w:pStyle w:val="CommentText"/>
      </w:pPr>
    </w:p>
    <w:p w:rsidR="00C47944" w:rsidRPr="001B395D" w:rsidRDefault="001440CB" w:rsidP="00B406FE">
      <w:pPr>
        <w:spacing w:after="160" w:line="259" w:lineRule="auto"/>
        <w:jc w:val="both"/>
        <w:rPr>
          <w:rFonts w:ascii="Tahoma" w:hAnsi="Tahoma" w:cs="Tahoma"/>
          <w:sz w:val="22"/>
          <w:szCs w:val="22"/>
        </w:rPr>
      </w:pPr>
      <w:r w:rsidRPr="001B395D">
        <w:rPr>
          <w:rFonts w:ascii="Tahoma" w:hAnsi="Tahoma" w:cs="Tahoma"/>
          <w:sz w:val="22"/>
          <w:szCs w:val="22"/>
        </w:rPr>
        <w:t xml:space="preserve">. </w:t>
      </w:r>
    </w:p>
    <w:p w:rsidR="00361404" w:rsidRPr="001B395D" w:rsidRDefault="00361404" w:rsidP="00361404">
      <w:pPr>
        <w:spacing w:line="259" w:lineRule="auto"/>
        <w:jc w:val="both"/>
        <w:rPr>
          <w:rFonts w:ascii="Tahoma" w:hAnsi="Tahoma" w:cs="Tahoma"/>
          <w:sz w:val="10"/>
          <w:szCs w:val="10"/>
        </w:rPr>
      </w:pPr>
    </w:p>
    <w:p w:rsidR="00DB5D24" w:rsidRPr="001B395D" w:rsidRDefault="00C47944" w:rsidP="00361404">
      <w:pPr>
        <w:spacing w:after="80" w:line="259" w:lineRule="auto"/>
        <w:rPr>
          <w:rFonts w:ascii="Tahoma" w:hAnsi="Tahoma" w:cs="Tahoma"/>
          <w:bCs/>
          <w:color w:val="2F5496"/>
          <w:sz w:val="22"/>
          <w:szCs w:val="22"/>
        </w:rPr>
      </w:pPr>
      <w:r w:rsidRPr="001B395D">
        <w:rPr>
          <w:rFonts w:ascii="Tahoma" w:hAnsi="Tahoma" w:cs="Tahoma"/>
          <w:bCs/>
          <w:color w:val="2F5496"/>
          <w:sz w:val="22"/>
          <w:szCs w:val="22"/>
        </w:rPr>
        <w:lastRenderedPageBreak/>
        <w:t>Табела 2. Предшколско образовање – капацитет, 20</w:t>
      </w:r>
      <w:r w:rsidR="00AA4740" w:rsidRPr="001B395D">
        <w:rPr>
          <w:rFonts w:ascii="Tahoma" w:hAnsi="Tahoma" w:cs="Tahoma"/>
          <w:bCs/>
          <w:color w:val="2F5496"/>
          <w:sz w:val="22"/>
          <w:szCs w:val="22"/>
        </w:rPr>
        <w:t>20</w:t>
      </w:r>
      <w:r w:rsidRPr="001B395D">
        <w:rPr>
          <w:rFonts w:ascii="Tahoma" w:hAnsi="Tahoma" w:cs="Tahoma"/>
          <w:bCs/>
          <w:color w:val="2F5496"/>
          <w:sz w:val="22"/>
          <w:szCs w:val="22"/>
        </w:rPr>
        <w:t>. година</w:t>
      </w:r>
    </w:p>
    <w:tbl>
      <w:tblPr>
        <w:tblStyle w:val="GridTable5Dark-Accent51"/>
        <w:tblpPr w:leftFromText="180" w:rightFromText="180" w:vertAnchor="text" w:horzAnchor="margin" w:tblpX="108" w:tblpY="4"/>
        <w:tblW w:w="8392" w:type="dxa"/>
        <w:tblLayout w:type="fixed"/>
        <w:tblLook w:val="04A0" w:firstRow="1" w:lastRow="0" w:firstColumn="1" w:lastColumn="0" w:noHBand="0" w:noVBand="1"/>
      </w:tblPr>
      <w:tblGrid>
        <w:gridCol w:w="4292"/>
        <w:gridCol w:w="1366"/>
        <w:gridCol w:w="1367"/>
        <w:gridCol w:w="1367"/>
      </w:tblGrid>
      <w:tr w:rsidR="00361404" w:rsidRPr="001B395D" w:rsidTr="005814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2" w:type="dxa"/>
            <w:tcBorders>
              <w:right w:val="single" w:sz="4" w:space="0" w:color="FFFFFF" w:themeColor="background1"/>
            </w:tcBorders>
            <w:shd w:val="clear" w:color="auto" w:fill="2F5496" w:themeFill="accent1" w:themeFillShade="BF"/>
          </w:tcPr>
          <w:p w:rsidR="00361404" w:rsidRPr="001B395D" w:rsidRDefault="00361404" w:rsidP="005814C5">
            <w:pPr>
              <w:rPr>
                <w:rFonts w:ascii="Tahoma" w:hAnsi="Tahoma" w:cs="Tahoma"/>
                <w:sz w:val="21"/>
                <w:szCs w:val="21"/>
              </w:rPr>
            </w:pPr>
          </w:p>
        </w:tc>
        <w:tc>
          <w:tcPr>
            <w:tcW w:w="1366" w:type="dxa"/>
            <w:tcBorders>
              <w:left w:val="single" w:sz="4" w:space="0" w:color="FFFFFF" w:themeColor="background1"/>
              <w:right w:val="single" w:sz="4" w:space="0" w:color="FFFFFF" w:themeColor="background1"/>
            </w:tcBorders>
            <w:shd w:val="clear" w:color="auto" w:fill="2F5496" w:themeFill="accent1" w:themeFillShade="BF"/>
            <w:vAlign w:val="center"/>
          </w:tcPr>
          <w:p w:rsidR="00361404" w:rsidRPr="001B395D" w:rsidRDefault="00361404" w:rsidP="005814C5">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Укупно</w:t>
            </w:r>
          </w:p>
        </w:tc>
        <w:tc>
          <w:tcPr>
            <w:tcW w:w="1367" w:type="dxa"/>
            <w:tcBorders>
              <w:left w:val="single" w:sz="4" w:space="0" w:color="FFFFFF" w:themeColor="background1"/>
              <w:right w:val="single" w:sz="4" w:space="0" w:color="FFFFFF" w:themeColor="background1"/>
            </w:tcBorders>
            <w:shd w:val="clear" w:color="auto" w:fill="2F5496" w:themeFill="accent1" w:themeFillShade="BF"/>
          </w:tcPr>
          <w:p w:rsidR="00361404" w:rsidRPr="001B395D" w:rsidRDefault="00361404" w:rsidP="005814C5">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Градска насеља</w:t>
            </w:r>
          </w:p>
        </w:tc>
        <w:tc>
          <w:tcPr>
            <w:tcW w:w="1367" w:type="dxa"/>
            <w:tcBorders>
              <w:left w:val="single" w:sz="4" w:space="0" w:color="FFFFFF" w:themeColor="background1"/>
            </w:tcBorders>
            <w:shd w:val="clear" w:color="auto" w:fill="2F5496" w:themeFill="accent1" w:themeFillShade="BF"/>
          </w:tcPr>
          <w:p w:rsidR="00361404" w:rsidRPr="001B395D" w:rsidRDefault="00361404" w:rsidP="005814C5">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Остала насеља</w:t>
            </w:r>
          </w:p>
        </w:tc>
      </w:tr>
      <w:tr w:rsidR="00361404" w:rsidRPr="001B395D" w:rsidTr="005814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2" w:type="dxa"/>
            <w:shd w:val="clear" w:color="auto" w:fill="D9E2F3" w:themeFill="accent1" w:themeFillTint="33"/>
          </w:tcPr>
          <w:p w:rsidR="00361404" w:rsidRPr="001B395D" w:rsidRDefault="00361404" w:rsidP="005814C5">
            <w:pPr>
              <w:rPr>
                <w:rFonts w:ascii="Tahoma" w:hAnsi="Tahoma" w:cs="Tahoma"/>
                <w:sz w:val="21"/>
                <w:szCs w:val="21"/>
              </w:rPr>
            </w:pPr>
            <w:r w:rsidRPr="001B395D">
              <w:rPr>
                <w:rFonts w:ascii="Tahoma" w:hAnsi="Tahoma" w:cs="Tahoma"/>
                <w:color w:val="1F3864" w:themeColor="accent1" w:themeShade="80"/>
                <w:sz w:val="21"/>
                <w:szCs w:val="21"/>
              </w:rPr>
              <w:t>Примљени</w:t>
            </w:r>
          </w:p>
        </w:tc>
        <w:tc>
          <w:tcPr>
            <w:tcW w:w="1366" w:type="dxa"/>
            <w:shd w:val="clear" w:color="auto" w:fill="D9E2F3" w:themeFill="accent1" w:themeFillTint="33"/>
            <w:vAlign w:val="center"/>
          </w:tcPr>
          <w:p w:rsidR="00361404" w:rsidRPr="001B395D" w:rsidRDefault="000874D0" w:rsidP="005814C5">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1036</w:t>
            </w:r>
          </w:p>
        </w:tc>
        <w:tc>
          <w:tcPr>
            <w:tcW w:w="1367" w:type="dxa"/>
            <w:shd w:val="clear" w:color="auto" w:fill="D9E2F3" w:themeFill="accent1" w:themeFillTint="33"/>
            <w:vAlign w:val="center"/>
          </w:tcPr>
          <w:p w:rsidR="00361404" w:rsidRPr="001B395D" w:rsidRDefault="000874D0" w:rsidP="005814C5">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719</w:t>
            </w:r>
          </w:p>
        </w:tc>
        <w:tc>
          <w:tcPr>
            <w:tcW w:w="1367" w:type="dxa"/>
            <w:shd w:val="clear" w:color="auto" w:fill="D9E2F3" w:themeFill="accent1" w:themeFillTint="33"/>
            <w:vAlign w:val="center"/>
          </w:tcPr>
          <w:p w:rsidR="00361404" w:rsidRPr="001B395D" w:rsidRDefault="000874D0" w:rsidP="005814C5">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317</w:t>
            </w:r>
          </w:p>
        </w:tc>
      </w:tr>
      <w:tr w:rsidR="00361404" w:rsidRPr="001B395D" w:rsidTr="005814C5">
        <w:tc>
          <w:tcPr>
            <w:cnfStyle w:val="001000000000" w:firstRow="0" w:lastRow="0" w:firstColumn="1" w:lastColumn="0" w:oddVBand="0" w:evenVBand="0" w:oddHBand="0" w:evenHBand="0" w:firstRowFirstColumn="0" w:firstRowLastColumn="0" w:lastRowFirstColumn="0" w:lastRowLastColumn="0"/>
            <w:tcW w:w="4292" w:type="dxa"/>
            <w:shd w:val="clear" w:color="auto" w:fill="B4C6E7" w:themeFill="accent1" w:themeFillTint="66"/>
          </w:tcPr>
          <w:p w:rsidR="00361404" w:rsidRPr="001B395D" w:rsidRDefault="00361404" w:rsidP="005814C5">
            <w:pPr>
              <w:rPr>
                <w:rFonts w:ascii="Tahoma" w:hAnsi="Tahoma" w:cs="Tahoma"/>
                <w:sz w:val="21"/>
                <w:szCs w:val="21"/>
              </w:rPr>
            </w:pPr>
            <w:r w:rsidRPr="001B395D">
              <w:rPr>
                <w:rFonts w:ascii="Tahoma" w:hAnsi="Tahoma" w:cs="Tahoma"/>
                <w:color w:val="1F3864" w:themeColor="accent1" w:themeShade="80"/>
                <w:sz w:val="21"/>
                <w:szCs w:val="21"/>
              </w:rPr>
              <w:t xml:space="preserve">Уписани преко капацитета </w:t>
            </w:r>
          </w:p>
        </w:tc>
        <w:tc>
          <w:tcPr>
            <w:tcW w:w="1366" w:type="dxa"/>
            <w:shd w:val="clear" w:color="auto" w:fill="B4C6E7" w:themeFill="accent1" w:themeFillTint="66"/>
            <w:vAlign w:val="center"/>
          </w:tcPr>
          <w:p w:rsidR="00361404" w:rsidRPr="001B395D" w:rsidRDefault="000874D0" w:rsidP="005814C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0</w:t>
            </w:r>
          </w:p>
        </w:tc>
        <w:tc>
          <w:tcPr>
            <w:tcW w:w="1367" w:type="dxa"/>
            <w:shd w:val="clear" w:color="auto" w:fill="B4C6E7" w:themeFill="accent1" w:themeFillTint="66"/>
            <w:vAlign w:val="center"/>
          </w:tcPr>
          <w:p w:rsidR="00361404" w:rsidRPr="001B395D" w:rsidRDefault="000874D0" w:rsidP="005814C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0</w:t>
            </w:r>
          </w:p>
        </w:tc>
        <w:tc>
          <w:tcPr>
            <w:tcW w:w="1367" w:type="dxa"/>
            <w:shd w:val="clear" w:color="auto" w:fill="B4C6E7" w:themeFill="accent1" w:themeFillTint="66"/>
            <w:vAlign w:val="center"/>
          </w:tcPr>
          <w:p w:rsidR="00361404" w:rsidRPr="001B395D" w:rsidRDefault="000874D0" w:rsidP="005814C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0</w:t>
            </w:r>
          </w:p>
        </w:tc>
      </w:tr>
      <w:tr w:rsidR="00361404" w:rsidRPr="001B395D" w:rsidTr="005814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2" w:type="dxa"/>
            <w:shd w:val="clear" w:color="auto" w:fill="D9E2F3" w:themeFill="accent1" w:themeFillTint="33"/>
          </w:tcPr>
          <w:p w:rsidR="00361404" w:rsidRPr="001B395D" w:rsidRDefault="00361404" w:rsidP="005814C5">
            <w:pPr>
              <w:rPr>
                <w:rFonts w:ascii="Tahoma" w:hAnsi="Tahoma" w:cs="Tahoma"/>
                <w:sz w:val="21"/>
                <w:szCs w:val="21"/>
              </w:rPr>
            </w:pPr>
            <w:r w:rsidRPr="001B395D">
              <w:rPr>
                <w:rFonts w:ascii="Tahoma" w:hAnsi="Tahoma" w:cs="Tahoma"/>
                <w:color w:val="1F3864" w:themeColor="accent1" w:themeShade="80"/>
                <w:sz w:val="21"/>
                <w:szCs w:val="21"/>
              </w:rPr>
              <w:t>Нису примљени због попуњености капацитета</w:t>
            </w:r>
          </w:p>
        </w:tc>
        <w:tc>
          <w:tcPr>
            <w:tcW w:w="1366" w:type="dxa"/>
            <w:shd w:val="clear" w:color="auto" w:fill="D9E2F3" w:themeFill="accent1" w:themeFillTint="33"/>
            <w:vAlign w:val="center"/>
          </w:tcPr>
          <w:p w:rsidR="00361404" w:rsidRPr="001B395D" w:rsidRDefault="000874D0" w:rsidP="005814C5">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0</w:t>
            </w:r>
          </w:p>
        </w:tc>
        <w:tc>
          <w:tcPr>
            <w:tcW w:w="1367" w:type="dxa"/>
            <w:shd w:val="clear" w:color="auto" w:fill="D9E2F3" w:themeFill="accent1" w:themeFillTint="33"/>
            <w:vAlign w:val="center"/>
          </w:tcPr>
          <w:p w:rsidR="00361404" w:rsidRPr="001B395D" w:rsidRDefault="000874D0" w:rsidP="005814C5">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0</w:t>
            </w:r>
          </w:p>
        </w:tc>
        <w:tc>
          <w:tcPr>
            <w:tcW w:w="1367" w:type="dxa"/>
            <w:shd w:val="clear" w:color="auto" w:fill="D9E2F3" w:themeFill="accent1" w:themeFillTint="33"/>
            <w:vAlign w:val="center"/>
          </w:tcPr>
          <w:p w:rsidR="00361404" w:rsidRPr="001B395D" w:rsidRDefault="000874D0" w:rsidP="005814C5">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0</w:t>
            </w:r>
          </w:p>
        </w:tc>
      </w:tr>
    </w:tbl>
    <w:p w:rsidR="00361404" w:rsidRPr="001B395D" w:rsidRDefault="00361404" w:rsidP="00DB5D24">
      <w:pPr>
        <w:jc w:val="both"/>
        <w:rPr>
          <w:b/>
        </w:rPr>
      </w:pPr>
    </w:p>
    <w:p w:rsidR="00361404" w:rsidRPr="001B395D" w:rsidRDefault="00361404" w:rsidP="00DB5D24">
      <w:pPr>
        <w:jc w:val="both"/>
        <w:rPr>
          <w:b/>
        </w:rPr>
      </w:pPr>
    </w:p>
    <w:p w:rsidR="00361404" w:rsidRPr="001B395D" w:rsidRDefault="00361404" w:rsidP="00DB5D24">
      <w:pPr>
        <w:jc w:val="both"/>
        <w:rPr>
          <w:b/>
        </w:rPr>
      </w:pPr>
    </w:p>
    <w:p w:rsidR="00361404" w:rsidRPr="001B395D" w:rsidRDefault="00361404" w:rsidP="00DB5D24">
      <w:pPr>
        <w:jc w:val="both"/>
        <w:rPr>
          <w:b/>
        </w:rPr>
      </w:pPr>
    </w:p>
    <w:p w:rsidR="00361404" w:rsidRPr="001B395D" w:rsidRDefault="00361404" w:rsidP="00DB5D24">
      <w:pPr>
        <w:jc w:val="both"/>
        <w:rPr>
          <w:b/>
        </w:rPr>
      </w:pPr>
    </w:p>
    <w:p w:rsidR="00361404" w:rsidRPr="001B395D" w:rsidRDefault="00361404" w:rsidP="00DB5D24">
      <w:pPr>
        <w:jc w:val="both"/>
        <w:rPr>
          <w:b/>
        </w:rPr>
      </w:pPr>
    </w:p>
    <w:p w:rsidR="00361404" w:rsidRPr="001B395D" w:rsidRDefault="00361404" w:rsidP="00DB5D24">
      <w:pPr>
        <w:jc w:val="both"/>
        <w:rPr>
          <w:b/>
        </w:rPr>
      </w:pPr>
      <w:r w:rsidRPr="001B395D">
        <w:rPr>
          <w:rFonts w:ascii="Tahoma" w:hAnsi="Tahoma" w:cs="Tahoma"/>
          <w:sz w:val="18"/>
          <w:szCs w:val="18"/>
        </w:rPr>
        <w:t>Извор: ДевИнфо база - профили општина (примарни извор Статистика образовања RZS), Републичког завода за статистику</w:t>
      </w:r>
      <w:r w:rsidRPr="001B395D">
        <w:rPr>
          <w:rFonts w:ascii="Tahoma" w:eastAsia="Open Sans" w:hAnsi="Tahoma" w:cs="Tahoma"/>
          <w:sz w:val="18"/>
          <w:szCs w:val="18"/>
        </w:rPr>
        <w:t>.</w:t>
      </w:r>
    </w:p>
    <w:p w:rsidR="00361404" w:rsidRPr="001B395D" w:rsidRDefault="00361404" w:rsidP="00361404">
      <w:pPr>
        <w:spacing w:after="80" w:line="259" w:lineRule="auto"/>
        <w:jc w:val="both"/>
        <w:rPr>
          <w:rFonts w:ascii="Tahoma" w:hAnsi="Tahoma" w:cs="Tahoma"/>
          <w:b/>
          <w:sz w:val="10"/>
          <w:szCs w:val="10"/>
        </w:rPr>
      </w:pPr>
    </w:p>
    <w:p w:rsidR="000B3EF6" w:rsidRPr="001B395D" w:rsidRDefault="000B3EF6" w:rsidP="000B3EF6">
      <w:pPr>
        <w:spacing w:after="160" w:line="259" w:lineRule="auto"/>
        <w:jc w:val="both"/>
        <w:rPr>
          <w:rFonts w:ascii="Tahoma" w:hAnsi="Tahoma" w:cs="Tahoma"/>
          <w:sz w:val="22"/>
          <w:szCs w:val="22"/>
        </w:rPr>
      </w:pPr>
      <w:r w:rsidRPr="001B395D">
        <w:rPr>
          <w:rFonts w:ascii="Tahoma" w:hAnsi="Tahoma" w:cs="Tahoma"/>
          <w:b/>
          <w:color w:val="2F5496"/>
          <w:sz w:val="22"/>
          <w:szCs w:val="22"/>
        </w:rPr>
        <w:t xml:space="preserve">У понуди ПВО поред класичног целодневног програма постоји и понуда </w:t>
      </w:r>
      <w:r w:rsidRPr="001B395D">
        <w:rPr>
          <w:rFonts w:ascii="Tahoma" w:hAnsi="Tahoma" w:cs="Tahoma"/>
          <w:b/>
          <w:color w:val="2F5496" w:themeColor="accent1" w:themeShade="BF"/>
          <w:sz w:val="22"/>
          <w:szCs w:val="22"/>
        </w:rPr>
        <w:t xml:space="preserve">програма краћег од 6 сати </w:t>
      </w:r>
      <w:r w:rsidRPr="001B395D">
        <w:rPr>
          <w:rFonts w:ascii="Tahoma" w:hAnsi="Tahoma" w:cs="Tahoma"/>
          <w:sz w:val="22"/>
          <w:szCs w:val="22"/>
        </w:rPr>
        <w:t xml:space="preserve">(Табела 3). Иако је учешће деце у овом програму занемарљиво, ипак </w:t>
      </w:r>
      <w:r w:rsidRPr="001B395D">
        <w:rPr>
          <w:rFonts w:ascii="Tahoma" w:hAnsi="Tahoma" w:cs="Tahoma"/>
          <w:color w:val="000000" w:themeColor="text1"/>
          <w:sz w:val="22"/>
          <w:szCs w:val="22"/>
        </w:rPr>
        <w:t>је похвално што се овакав програм уопште постоји</w:t>
      </w:r>
      <w:r w:rsidR="00FE6A87" w:rsidRPr="001B395D">
        <w:rPr>
          <w:rFonts w:ascii="Tahoma" w:hAnsi="Tahoma" w:cs="Tahoma"/>
          <w:color w:val="000000" w:themeColor="text1"/>
          <w:sz w:val="22"/>
          <w:szCs w:val="22"/>
        </w:rPr>
        <w:t>.</w:t>
      </w:r>
      <w:r w:rsidR="00BD0E65" w:rsidRPr="001B395D">
        <w:rPr>
          <w:rFonts w:ascii="Tahoma" w:hAnsi="Tahoma" w:cs="Tahoma"/>
          <w:sz w:val="22"/>
          <w:szCs w:val="22"/>
        </w:rPr>
        <w:t xml:space="preserve">Вероватно је у питању </w:t>
      </w:r>
      <w:r w:rsidR="001440CB" w:rsidRPr="001B395D">
        <w:rPr>
          <w:rFonts w:ascii="Tahoma" w:hAnsi="Tahoma" w:cs="Tahoma"/>
          <w:sz w:val="22"/>
          <w:szCs w:val="22"/>
        </w:rPr>
        <w:t>диверсификовани програм ''Иницијативе за подршку развоју и учењу ромске деце раног узраста у Србији'' у који су осим деце ромске заједнице укључена и деца других ускраћених група</w:t>
      </w:r>
      <w:r w:rsidR="001440CB" w:rsidRPr="001B395D">
        <w:rPr>
          <w:rStyle w:val="FootnoteReference"/>
          <w:rFonts w:ascii="Tahoma" w:hAnsi="Tahoma" w:cs="Tahoma"/>
          <w:sz w:val="22"/>
          <w:szCs w:val="22"/>
        </w:rPr>
        <w:footnoteReference w:id="15"/>
      </w:r>
      <w:r w:rsidR="001440CB" w:rsidRPr="001B395D">
        <w:rPr>
          <w:rFonts w:ascii="Tahoma" w:hAnsi="Tahoma" w:cs="Tahoma"/>
          <w:sz w:val="22"/>
          <w:szCs w:val="22"/>
        </w:rPr>
        <w:t>.</w:t>
      </w:r>
    </w:p>
    <w:p w:rsidR="00361404" w:rsidRPr="001B395D" w:rsidRDefault="00361404" w:rsidP="00361404">
      <w:pPr>
        <w:spacing w:line="259" w:lineRule="auto"/>
        <w:jc w:val="both"/>
        <w:rPr>
          <w:rFonts w:ascii="Tahoma" w:hAnsi="Tahoma" w:cs="Tahoma"/>
          <w:sz w:val="10"/>
          <w:szCs w:val="10"/>
        </w:rPr>
      </w:pPr>
    </w:p>
    <w:p w:rsidR="00DB5D24" w:rsidRPr="001B395D" w:rsidRDefault="00C47944" w:rsidP="00B26A13">
      <w:pPr>
        <w:spacing w:after="80" w:line="259" w:lineRule="auto"/>
        <w:rPr>
          <w:rFonts w:ascii="Tahoma" w:hAnsi="Tahoma" w:cs="Tahoma"/>
          <w:bCs/>
          <w:color w:val="2F5496"/>
          <w:sz w:val="22"/>
          <w:szCs w:val="22"/>
        </w:rPr>
      </w:pPr>
      <w:r w:rsidRPr="001B395D">
        <w:rPr>
          <w:rFonts w:ascii="Tahoma" w:hAnsi="Tahoma" w:cs="Tahoma"/>
          <w:bCs/>
          <w:color w:val="2F5496"/>
          <w:sz w:val="22"/>
          <w:szCs w:val="22"/>
        </w:rPr>
        <w:t>Taбел</w:t>
      </w:r>
      <w:r w:rsidR="00DB5D24" w:rsidRPr="001B395D">
        <w:rPr>
          <w:rFonts w:ascii="Tahoma" w:hAnsi="Tahoma" w:cs="Tahoma"/>
          <w:bCs/>
          <w:color w:val="2F5496"/>
          <w:sz w:val="22"/>
          <w:szCs w:val="22"/>
        </w:rPr>
        <w:t xml:space="preserve">a </w:t>
      </w:r>
      <w:r w:rsidR="009A51E8" w:rsidRPr="001B395D">
        <w:rPr>
          <w:rFonts w:ascii="Tahoma" w:hAnsi="Tahoma" w:cs="Tahoma"/>
          <w:bCs/>
          <w:color w:val="2F5496"/>
          <w:sz w:val="22"/>
          <w:szCs w:val="22"/>
        </w:rPr>
        <w:t>3</w:t>
      </w:r>
      <w:r w:rsidR="00DB5D24" w:rsidRPr="001B395D">
        <w:rPr>
          <w:rFonts w:ascii="Tahoma" w:hAnsi="Tahoma" w:cs="Tahoma"/>
          <w:bCs/>
          <w:color w:val="2F5496"/>
          <w:sz w:val="22"/>
          <w:szCs w:val="22"/>
        </w:rPr>
        <w:t>.</w:t>
      </w:r>
      <w:r w:rsidRPr="001B395D">
        <w:rPr>
          <w:rFonts w:ascii="Tahoma" w:hAnsi="Tahoma" w:cs="Tahoma"/>
          <w:bCs/>
          <w:color w:val="2F5496"/>
          <w:sz w:val="22"/>
          <w:szCs w:val="22"/>
        </w:rPr>
        <w:t xml:space="preserve"> Деца у предшколском образовању према дужини дневног боравка</w:t>
      </w:r>
      <w:r w:rsidR="00B26A13" w:rsidRPr="001B395D">
        <w:rPr>
          <w:rFonts w:ascii="Tahoma" w:hAnsi="Tahoma" w:cs="Tahoma"/>
          <w:bCs/>
          <w:color w:val="2F5496"/>
          <w:sz w:val="22"/>
          <w:szCs w:val="22"/>
        </w:rPr>
        <w:t xml:space="preserve"> (у %),за период </w:t>
      </w:r>
      <w:r w:rsidR="00DB5D24" w:rsidRPr="001B395D">
        <w:rPr>
          <w:rFonts w:ascii="Tahoma" w:hAnsi="Tahoma" w:cs="Tahoma"/>
          <w:bCs/>
          <w:color w:val="2F5496"/>
          <w:sz w:val="22"/>
          <w:szCs w:val="22"/>
        </w:rPr>
        <w:t>201</w:t>
      </w:r>
      <w:r w:rsidR="004D375E" w:rsidRPr="001B395D">
        <w:rPr>
          <w:rFonts w:ascii="Tahoma" w:hAnsi="Tahoma" w:cs="Tahoma"/>
          <w:bCs/>
          <w:color w:val="2F5496"/>
          <w:sz w:val="22"/>
          <w:szCs w:val="22"/>
        </w:rPr>
        <w:t>8</w:t>
      </w:r>
      <w:r w:rsidR="00DB5D24" w:rsidRPr="001B395D">
        <w:rPr>
          <w:rFonts w:ascii="Tahoma" w:hAnsi="Tahoma" w:cs="Tahoma"/>
          <w:bCs/>
          <w:color w:val="2F5496"/>
          <w:sz w:val="22"/>
          <w:szCs w:val="22"/>
        </w:rPr>
        <w:t>─20</w:t>
      </w:r>
      <w:r w:rsidR="006C6D7A" w:rsidRPr="001B395D">
        <w:rPr>
          <w:rFonts w:ascii="Tahoma" w:hAnsi="Tahoma" w:cs="Tahoma"/>
          <w:bCs/>
          <w:color w:val="2F5496"/>
          <w:sz w:val="22"/>
          <w:szCs w:val="22"/>
        </w:rPr>
        <w:t>20</w:t>
      </w:r>
      <w:r w:rsidR="00DB5D24" w:rsidRPr="001B395D">
        <w:rPr>
          <w:rFonts w:ascii="Tahoma" w:hAnsi="Tahoma" w:cs="Tahoma"/>
          <w:bCs/>
          <w:color w:val="2F5496"/>
          <w:sz w:val="22"/>
          <w:szCs w:val="22"/>
        </w:rPr>
        <w:t xml:space="preserve">. </w:t>
      </w:r>
    </w:p>
    <w:tbl>
      <w:tblPr>
        <w:tblStyle w:val="GridTable5Dark-Accent51"/>
        <w:tblpPr w:leftFromText="180" w:rightFromText="180" w:vertAnchor="text" w:horzAnchor="margin" w:tblpX="108" w:tblpY="4"/>
        <w:tblW w:w="7943" w:type="dxa"/>
        <w:tblLayout w:type="fixed"/>
        <w:tblLook w:val="04A0" w:firstRow="1" w:lastRow="0" w:firstColumn="1" w:lastColumn="0" w:noHBand="0" w:noVBand="1"/>
      </w:tblPr>
      <w:tblGrid>
        <w:gridCol w:w="4043"/>
        <w:gridCol w:w="1300"/>
        <w:gridCol w:w="1300"/>
        <w:gridCol w:w="1300"/>
      </w:tblGrid>
      <w:tr w:rsidR="004D375E" w:rsidRPr="001B395D" w:rsidTr="005814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3" w:type="dxa"/>
            <w:tcBorders>
              <w:right w:val="single" w:sz="4" w:space="0" w:color="FFFFFF" w:themeColor="background1"/>
            </w:tcBorders>
            <w:shd w:val="clear" w:color="auto" w:fill="2F5496" w:themeFill="accent1" w:themeFillShade="BF"/>
          </w:tcPr>
          <w:p w:rsidR="004D375E" w:rsidRPr="001B395D" w:rsidRDefault="004D375E" w:rsidP="005814C5">
            <w:pPr>
              <w:rPr>
                <w:rFonts w:ascii="Tahoma" w:hAnsi="Tahoma" w:cs="Tahoma"/>
                <w:sz w:val="21"/>
                <w:szCs w:val="21"/>
              </w:rPr>
            </w:pPr>
          </w:p>
        </w:tc>
        <w:tc>
          <w:tcPr>
            <w:tcW w:w="1300" w:type="dxa"/>
            <w:tcBorders>
              <w:left w:val="single" w:sz="4" w:space="0" w:color="FFFFFF" w:themeColor="background1"/>
              <w:right w:val="single" w:sz="4" w:space="0" w:color="FFFFFF" w:themeColor="background1"/>
            </w:tcBorders>
            <w:shd w:val="clear" w:color="auto" w:fill="2F5496" w:themeFill="accent1" w:themeFillShade="BF"/>
            <w:vAlign w:val="center"/>
          </w:tcPr>
          <w:p w:rsidR="004D375E" w:rsidRPr="001B395D" w:rsidRDefault="004D375E" w:rsidP="005814C5">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2018</w:t>
            </w:r>
          </w:p>
        </w:tc>
        <w:tc>
          <w:tcPr>
            <w:tcW w:w="1300" w:type="dxa"/>
            <w:tcBorders>
              <w:left w:val="single" w:sz="4" w:space="0" w:color="FFFFFF" w:themeColor="background1"/>
            </w:tcBorders>
            <w:shd w:val="clear" w:color="auto" w:fill="2F5496" w:themeFill="accent1" w:themeFillShade="BF"/>
            <w:vAlign w:val="center"/>
          </w:tcPr>
          <w:p w:rsidR="004D375E" w:rsidRPr="001B395D" w:rsidRDefault="004D375E" w:rsidP="005814C5">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2019</w:t>
            </w:r>
          </w:p>
        </w:tc>
        <w:tc>
          <w:tcPr>
            <w:tcW w:w="1300" w:type="dxa"/>
            <w:tcBorders>
              <w:left w:val="single" w:sz="4" w:space="0" w:color="FFFFFF" w:themeColor="background1"/>
            </w:tcBorders>
            <w:shd w:val="clear" w:color="auto" w:fill="2F5496" w:themeFill="accent1" w:themeFillShade="BF"/>
          </w:tcPr>
          <w:p w:rsidR="004D375E" w:rsidRPr="001B395D" w:rsidRDefault="004D375E" w:rsidP="005814C5">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2020</w:t>
            </w:r>
          </w:p>
        </w:tc>
      </w:tr>
      <w:tr w:rsidR="004D375E" w:rsidRPr="001B395D" w:rsidTr="005814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3" w:type="dxa"/>
            <w:shd w:val="clear" w:color="auto" w:fill="D9E2F3" w:themeFill="accent1" w:themeFillTint="33"/>
          </w:tcPr>
          <w:p w:rsidR="004D375E" w:rsidRPr="001B395D" w:rsidRDefault="004D375E" w:rsidP="005814C5">
            <w:pPr>
              <w:rPr>
                <w:rFonts w:ascii="Tahoma" w:hAnsi="Tahoma" w:cs="Tahoma"/>
                <w:sz w:val="21"/>
                <w:szCs w:val="21"/>
              </w:rPr>
            </w:pPr>
            <w:r w:rsidRPr="001B395D">
              <w:rPr>
                <w:rFonts w:ascii="Tahoma" w:hAnsi="Tahoma" w:cs="Tahoma"/>
                <w:color w:val="1F3864" w:themeColor="accent1" w:themeShade="80"/>
                <w:sz w:val="21"/>
                <w:szCs w:val="21"/>
              </w:rPr>
              <w:t>До 6 сати дневно</w:t>
            </w:r>
          </w:p>
        </w:tc>
        <w:tc>
          <w:tcPr>
            <w:tcW w:w="1300" w:type="dxa"/>
            <w:shd w:val="clear" w:color="auto" w:fill="D9E2F3" w:themeFill="accent1" w:themeFillTint="33"/>
            <w:vAlign w:val="center"/>
          </w:tcPr>
          <w:p w:rsidR="004D375E" w:rsidRPr="001B395D" w:rsidRDefault="00B447C1" w:rsidP="005814C5">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2.7</w:t>
            </w:r>
          </w:p>
        </w:tc>
        <w:tc>
          <w:tcPr>
            <w:tcW w:w="1300" w:type="dxa"/>
            <w:shd w:val="clear" w:color="auto" w:fill="D9E2F3" w:themeFill="accent1" w:themeFillTint="33"/>
            <w:vAlign w:val="center"/>
          </w:tcPr>
          <w:p w:rsidR="004D375E" w:rsidRPr="001B395D" w:rsidRDefault="00B447C1" w:rsidP="005814C5">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2.3</w:t>
            </w:r>
          </w:p>
        </w:tc>
        <w:tc>
          <w:tcPr>
            <w:tcW w:w="1300" w:type="dxa"/>
            <w:shd w:val="clear" w:color="auto" w:fill="D9E2F3" w:themeFill="accent1" w:themeFillTint="33"/>
          </w:tcPr>
          <w:p w:rsidR="004D375E" w:rsidRPr="001B395D" w:rsidRDefault="00B447C1" w:rsidP="005814C5">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1.8</w:t>
            </w:r>
          </w:p>
        </w:tc>
      </w:tr>
      <w:tr w:rsidR="004D375E" w:rsidRPr="001B395D" w:rsidTr="005814C5">
        <w:tc>
          <w:tcPr>
            <w:cnfStyle w:val="001000000000" w:firstRow="0" w:lastRow="0" w:firstColumn="1" w:lastColumn="0" w:oddVBand="0" w:evenVBand="0" w:oddHBand="0" w:evenHBand="0" w:firstRowFirstColumn="0" w:firstRowLastColumn="0" w:lastRowFirstColumn="0" w:lastRowLastColumn="0"/>
            <w:tcW w:w="4043" w:type="dxa"/>
            <w:shd w:val="clear" w:color="auto" w:fill="B4C6E7" w:themeFill="accent1" w:themeFillTint="66"/>
          </w:tcPr>
          <w:p w:rsidR="004D375E" w:rsidRPr="001B395D" w:rsidRDefault="004D375E" w:rsidP="005814C5">
            <w:pPr>
              <w:rPr>
                <w:rFonts w:ascii="Tahoma" w:hAnsi="Tahoma" w:cs="Tahoma"/>
                <w:sz w:val="21"/>
                <w:szCs w:val="21"/>
              </w:rPr>
            </w:pPr>
            <w:r w:rsidRPr="001B395D">
              <w:rPr>
                <w:rFonts w:ascii="Tahoma" w:hAnsi="Tahoma" w:cs="Tahoma"/>
                <w:color w:val="1F3864" w:themeColor="accent1" w:themeShade="80"/>
                <w:sz w:val="21"/>
                <w:szCs w:val="21"/>
              </w:rPr>
              <w:t>До 6 сати дневно 3 пута недељно</w:t>
            </w:r>
          </w:p>
        </w:tc>
        <w:tc>
          <w:tcPr>
            <w:tcW w:w="1300" w:type="dxa"/>
            <w:shd w:val="clear" w:color="auto" w:fill="B4C6E7" w:themeFill="accent1" w:themeFillTint="66"/>
            <w:vAlign w:val="center"/>
          </w:tcPr>
          <w:p w:rsidR="004D375E" w:rsidRPr="001B395D" w:rsidRDefault="00B447C1" w:rsidP="005814C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0</w:t>
            </w:r>
          </w:p>
        </w:tc>
        <w:tc>
          <w:tcPr>
            <w:tcW w:w="1300" w:type="dxa"/>
            <w:shd w:val="clear" w:color="auto" w:fill="B4C6E7" w:themeFill="accent1" w:themeFillTint="66"/>
            <w:vAlign w:val="center"/>
          </w:tcPr>
          <w:p w:rsidR="004D375E" w:rsidRPr="001B395D" w:rsidRDefault="00B447C1" w:rsidP="005814C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0</w:t>
            </w:r>
          </w:p>
        </w:tc>
        <w:tc>
          <w:tcPr>
            <w:tcW w:w="1300" w:type="dxa"/>
            <w:shd w:val="clear" w:color="auto" w:fill="B4C6E7" w:themeFill="accent1" w:themeFillTint="66"/>
          </w:tcPr>
          <w:p w:rsidR="004D375E" w:rsidRPr="001B395D" w:rsidRDefault="00B447C1" w:rsidP="005814C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0</w:t>
            </w:r>
          </w:p>
        </w:tc>
      </w:tr>
      <w:tr w:rsidR="004D375E" w:rsidRPr="001B395D" w:rsidTr="005814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3" w:type="dxa"/>
            <w:shd w:val="clear" w:color="auto" w:fill="D9E2F3" w:themeFill="accent1" w:themeFillTint="33"/>
          </w:tcPr>
          <w:p w:rsidR="004D375E" w:rsidRPr="001B395D" w:rsidRDefault="004D375E" w:rsidP="005814C5">
            <w:pPr>
              <w:rPr>
                <w:rFonts w:ascii="Tahoma" w:hAnsi="Tahoma" w:cs="Tahoma"/>
                <w:color w:val="1F3864" w:themeColor="accent1" w:themeShade="80"/>
                <w:sz w:val="21"/>
                <w:szCs w:val="21"/>
              </w:rPr>
            </w:pPr>
            <w:r w:rsidRPr="001B395D">
              <w:rPr>
                <w:rFonts w:ascii="Tahoma" w:hAnsi="Tahoma" w:cs="Tahoma"/>
                <w:color w:val="1F3864" w:themeColor="accent1" w:themeShade="80"/>
                <w:sz w:val="21"/>
                <w:szCs w:val="21"/>
              </w:rPr>
              <w:t>Од 9 до 12 сати</w:t>
            </w:r>
          </w:p>
        </w:tc>
        <w:tc>
          <w:tcPr>
            <w:tcW w:w="1300" w:type="dxa"/>
            <w:shd w:val="clear" w:color="auto" w:fill="D9E2F3" w:themeFill="accent1" w:themeFillTint="33"/>
          </w:tcPr>
          <w:p w:rsidR="004D375E" w:rsidRPr="001B395D" w:rsidRDefault="00B447C1" w:rsidP="005814C5">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64.8</w:t>
            </w:r>
          </w:p>
        </w:tc>
        <w:tc>
          <w:tcPr>
            <w:tcW w:w="1300" w:type="dxa"/>
            <w:shd w:val="clear" w:color="auto" w:fill="D9E2F3" w:themeFill="accent1" w:themeFillTint="33"/>
          </w:tcPr>
          <w:p w:rsidR="004D375E" w:rsidRPr="001B395D" w:rsidRDefault="00B447C1" w:rsidP="005814C5">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67.9</w:t>
            </w:r>
          </w:p>
        </w:tc>
        <w:tc>
          <w:tcPr>
            <w:tcW w:w="1300" w:type="dxa"/>
            <w:shd w:val="clear" w:color="auto" w:fill="D9E2F3" w:themeFill="accent1" w:themeFillTint="33"/>
          </w:tcPr>
          <w:p w:rsidR="004D375E" w:rsidRPr="001B395D" w:rsidRDefault="00B447C1" w:rsidP="005814C5">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60.6</w:t>
            </w:r>
          </w:p>
        </w:tc>
      </w:tr>
      <w:tr w:rsidR="004D375E" w:rsidRPr="001B395D" w:rsidTr="005814C5">
        <w:tc>
          <w:tcPr>
            <w:cnfStyle w:val="001000000000" w:firstRow="0" w:lastRow="0" w:firstColumn="1" w:lastColumn="0" w:oddVBand="0" w:evenVBand="0" w:oddHBand="0" w:evenHBand="0" w:firstRowFirstColumn="0" w:firstRowLastColumn="0" w:lastRowFirstColumn="0" w:lastRowLastColumn="0"/>
            <w:tcW w:w="4043" w:type="dxa"/>
            <w:shd w:val="clear" w:color="auto" w:fill="B4C6E7" w:themeFill="accent1" w:themeFillTint="66"/>
          </w:tcPr>
          <w:p w:rsidR="004D375E" w:rsidRPr="001B395D" w:rsidRDefault="004D375E" w:rsidP="005814C5">
            <w:pPr>
              <w:rPr>
                <w:rFonts w:ascii="Tahoma" w:hAnsi="Tahoma" w:cs="Tahoma"/>
                <w:color w:val="1F3864" w:themeColor="accent1" w:themeShade="80"/>
                <w:sz w:val="21"/>
                <w:szCs w:val="21"/>
              </w:rPr>
            </w:pPr>
            <w:r w:rsidRPr="001B395D">
              <w:rPr>
                <w:rFonts w:ascii="Tahoma" w:hAnsi="Tahoma" w:cs="Tahoma"/>
                <w:color w:val="1F3864" w:themeColor="accent1" w:themeShade="80"/>
                <w:sz w:val="21"/>
                <w:szCs w:val="21"/>
              </w:rPr>
              <w:t>У ППП 4 сата</w:t>
            </w:r>
          </w:p>
        </w:tc>
        <w:tc>
          <w:tcPr>
            <w:tcW w:w="1300" w:type="dxa"/>
            <w:shd w:val="clear" w:color="auto" w:fill="B4C6E7" w:themeFill="accent1" w:themeFillTint="66"/>
          </w:tcPr>
          <w:p w:rsidR="004D375E" w:rsidRPr="001B395D" w:rsidRDefault="00B447C1" w:rsidP="005814C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17.2</w:t>
            </w:r>
          </w:p>
        </w:tc>
        <w:tc>
          <w:tcPr>
            <w:tcW w:w="1300" w:type="dxa"/>
            <w:shd w:val="clear" w:color="auto" w:fill="B4C6E7" w:themeFill="accent1" w:themeFillTint="66"/>
          </w:tcPr>
          <w:p w:rsidR="004D375E" w:rsidRPr="001B395D" w:rsidRDefault="00B447C1" w:rsidP="005814C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13.9</w:t>
            </w:r>
          </w:p>
        </w:tc>
        <w:tc>
          <w:tcPr>
            <w:tcW w:w="1300" w:type="dxa"/>
            <w:shd w:val="clear" w:color="auto" w:fill="B4C6E7" w:themeFill="accent1" w:themeFillTint="66"/>
          </w:tcPr>
          <w:p w:rsidR="004D375E" w:rsidRPr="001B395D" w:rsidRDefault="00B447C1" w:rsidP="005814C5">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18.8</w:t>
            </w:r>
          </w:p>
        </w:tc>
      </w:tr>
      <w:tr w:rsidR="004D375E" w:rsidRPr="001B395D" w:rsidTr="005814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3" w:type="dxa"/>
            <w:shd w:val="clear" w:color="auto" w:fill="D9E2F3" w:themeFill="accent1" w:themeFillTint="33"/>
          </w:tcPr>
          <w:p w:rsidR="004D375E" w:rsidRPr="001B395D" w:rsidRDefault="004D375E" w:rsidP="005814C5">
            <w:pPr>
              <w:rPr>
                <w:rFonts w:ascii="Tahoma" w:hAnsi="Tahoma" w:cs="Tahoma"/>
                <w:color w:val="1F3864" w:themeColor="accent1" w:themeShade="80"/>
                <w:sz w:val="21"/>
                <w:szCs w:val="21"/>
              </w:rPr>
            </w:pPr>
            <w:r w:rsidRPr="001B395D">
              <w:rPr>
                <w:rFonts w:ascii="Tahoma" w:hAnsi="Tahoma" w:cs="Tahoma"/>
                <w:color w:val="1F3864" w:themeColor="accent1" w:themeShade="80"/>
                <w:sz w:val="21"/>
                <w:szCs w:val="21"/>
              </w:rPr>
              <w:t>У ППП целодневни боравак</w:t>
            </w:r>
          </w:p>
        </w:tc>
        <w:tc>
          <w:tcPr>
            <w:tcW w:w="1300" w:type="dxa"/>
            <w:shd w:val="clear" w:color="auto" w:fill="D9E2F3" w:themeFill="accent1" w:themeFillTint="33"/>
          </w:tcPr>
          <w:p w:rsidR="004D375E" w:rsidRPr="001B395D" w:rsidRDefault="00B447C1" w:rsidP="005814C5">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15.2</w:t>
            </w:r>
          </w:p>
        </w:tc>
        <w:tc>
          <w:tcPr>
            <w:tcW w:w="1300" w:type="dxa"/>
            <w:shd w:val="clear" w:color="auto" w:fill="D9E2F3" w:themeFill="accent1" w:themeFillTint="33"/>
          </w:tcPr>
          <w:p w:rsidR="004D375E" w:rsidRPr="001B395D" w:rsidRDefault="00B447C1" w:rsidP="005814C5">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15.9</w:t>
            </w:r>
          </w:p>
        </w:tc>
        <w:tc>
          <w:tcPr>
            <w:tcW w:w="1300" w:type="dxa"/>
            <w:shd w:val="clear" w:color="auto" w:fill="D9E2F3" w:themeFill="accent1" w:themeFillTint="33"/>
          </w:tcPr>
          <w:p w:rsidR="004D375E" w:rsidRPr="001B395D" w:rsidRDefault="00B447C1" w:rsidP="005814C5">
            <w:pPr>
              <w:jc w:val="right"/>
              <w:cnfStyle w:val="000000100000" w:firstRow="0" w:lastRow="0" w:firstColumn="0" w:lastColumn="0" w:oddVBand="0" w:evenVBand="0" w:oddHBand="1" w:evenHBand="0" w:firstRowFirstColumn="0" w:firstRowLastColumn="0" w:lastRowFirstColumn="0" w:lastRowLastColumn="0"/>
              <w:rPr>
                <w:rFonts w:ascii="Tahoma" w:hAnsi="Tahoma" w:cs="Tahoma"/>
                <w:sz w:val="21"/>
                <w:szCs w:val="21"/>
              </w:rPr>
            </w:pPr>
            <w:r w:rsidRPr="001B395D">
              <w:rPr>
                <w:rFonts w:ascii="Tahoma" w:hAnsi="Tahoma" w:cs="Tahoma"/>
                <w:sz w:val="21"/>
                <w:szCs w:val="21"/>
              </w:rPr>
              <w:t>18.7</w:t>
            </w:r>
          </w:p>
        </w:tc>
      </w:tr>
      <w:tr w:rsidR="004D375E" w:rsidRPr="001B395D" w:rsidTr="005814C5">
        <w:tc>
          <w:tcPr>
            <w:cnfStyle w:val="001000000000" w:firstRow="0" w:lastRow="0" w:firstColumn="1" w:lastColumn="0" w:oddVBand="0" w:evenVBand="0" w:oddHBand="0" w:evenHBand="0" w:firstRowFirstColumn="0" w:firstRowLastColumn="0" w:lastRowFirstColumn="0" w:lastRowLastColumn="0"/>
            <w:tcW w:w="4043" w:type="dxa"/>
            <w:shd w:val="clear" w:color="auto" w:fill="2F5496" w:themeFill="accent1" w:themeFillShade="BF"/>
          </w:tcPr>
          <w:p w:rsidR="004D375E" w:rsidRPr="001B395D" w:rsidRDefault="004D375E" w:rsidP="005814C5">
            <w:pPr>
              <w:rPr>
                <w:rFonts w:ascii="Tahoma" w:hAnsi="Tahoma" w:cs="Tahoma"/>
                <w:sz w:val="21"/>
                <w:szCs w:val="21"/>
              </w:rPr>
            </w:pPr>
            <w:r w:rsidRPr="001B395D">
              <w:rPr>
                <w:rFonts w:ascii="Tahoma" w:hAnsi="Tahoma" w:cs="Tahoma"/>
                <w:sz w:val="21"/>
                <w:szCs w:val="21"/>
              </w:rPr>
              <w:t>Укупно</w:t>
            </w:r>
          </w:p>
        </w:tc>
        <w:tc>
          <w:tcPr>
            <w:tcW w:w="1300" w:type="dxa"/>
            <w:shd w:val="clear" w:color="auto" w:fill="2F5496" w:themeFill="accent1" w:themeFillShade="BF"/>
          </w:tcPr>
          <w:p w:rsidR="004D375E" w:rsidRPr="001B395D" w:rsidRDefault="004D375E" w:rsidP="005814C5">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FFFFFF" w:themeColor="background1"/>
                <w:sz w:val="21"/>
                <w:szCs w:val="21"/>
              </w:rPr>
            </w:pPr>
            <w:r w:rsidRPr="001B395D">
              <w:rPr>
                <w:rFonts w:ascii="Tahoma" w:hAnsi="Tahoma" w:cs="Tahoma"/>
                <w:b/>
                <w:bCs/>
                <w:color w:val="FFFFFF" w:themeColor="background1"/>
                <w:sz w:val="21"/>
                <w:szCs w:val="21"/>
              </w:rPr>
              <w:t>100</w:t>
            </w:r>
          </w:p>
        </w:tc>
        <w:tc>
          <w:tcPr>
            <w:tcW w:w="1300" w:type="dxa"/>
            <w:shd w:val="clear" w:color="auto" w:fill="2F5496" w:themeFill="accent1" w:themeFillShade="BF"/>
          </w:tcPr>
          <w:p w:rsidR="004D375E" w:rsidRPr="001B395D" w:rsidRDefault="004D375E" w:rsidP="005814C5">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FFFFFF" w:themeColor="background1"/>
                <w:sz w:val="21"/>
                <w:szCs w:val="21"/>
              </w:rPr>
            </w:pPr>
            <w:r w:rsidRPr="001B395D">
              <w:rPr>
                <w:rFonts w:ascii="Tahoma" w:hAnsi="Tahoma" w:cs="Tahoma"/>
                <w:b/>
                <w:bCs/>
                <w:color w:val="FFFFFF" w:themeColor="background1"/>
                <w:sz w:val="21"/>
                <w:szCs w:val="21"/>
              </w:rPr>
              <w:t>100</w:t>
            </w:r>
          </w:p>
        </w:tc>
        <w:tc>
          <w:tcPr>
            <w:tcW w:w="1300" w:type="dxa"/>
            <w:shd w:val="clear" w:color="auto" w:fill="2F5496" w:themeFill="accent1" w:themeFillShade="BF"/>
          </w:tcPr>
          <w:p w:rsidR="004D375E" w:rsidRPr="001B395D" w:rsidRDefault="00664C9C" w:rsidP="005814C5">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FFFFFF" w:themeColor="background1"/>
                <w:sz w:val="21"/>
                <w:szCs w:val="21"/>
              </w:rPr>
            </w:pPr>
            <w:r w:rsidRPr="001B395D">
              <w:rPr>
                <w:rFonts w:ascii="Tahoma" w:hAnsi="Tahoma" w:cs="Tahoma"/>
                <w:b/>
                <w:bCs/>
                <w:color w:val="FFFFFF" w:themeColor="background1"/>
                <w:sz w:val="21"/>
                <w:szCs w:val="21"/>
              </w:rPr>
              <w:t>100</w:t>
            </w:r>
          </w:p>
        </w:tc>
      </w:tr>
    </w:tbl>
    <w:p w:rsidR="004D375E" w:rsidRPr="001B395D" w:rsidRDefault="004D375E" w:rsidP="00B26A13">
      <w:pPr>
        <w:rPr>
          <w:rFonts w:ascii="Tahoma" w:hAnsi="Tahoma" w:cs="Tahoma"/>
          <w:sz w:val="18"/>
          <w:szCs w:val="18"/>
        </w:rPr>
      </w:pPr>
    </w:p>
    <w:p w:rsidR="004D375E" w:rsidRPr="001B395D" w:rsidRDefault="004D375E" w:rsidP="00B26A13">
      <w:pPr>
        <w:rPr>
          <w:rFonts w:ascii="Tahoma" w:hAnsi="Tahoma" w:cs="Tahoma"/>
          <w:sz w:val="18"/>
          <w:szCs w:val="18"/>
        </w:rPr>
      </w:pPr>
    </w:p>
    <w:p w:rsidR="00B406FE" w:rsidRPr="001B395D" w:rsidRDefault="00B406FE" w:rsidP="00B26A13">
      <w:pPr>
        <w:rPr>
          <w:rFonts w:ascii="Tahoma" w:hAnsi="Tahoma" w:cs="Tahoma"/>
          <w:sz w:val="18"/>
          <w:szCs w:val="18"/>
        </w:rPr>
      </w:pPr>
    </w:p>
    <w:p w:rsidR="00B406FE" w:rsidRPr="001B395D" w:rsidRDefault="00B406FE" w:rsidP="00B26A13">
      <w:pPr>
        <w:rPr>
          <w:rFonts w:ascii="Tahoma" w:hAnsi="Tahoma" w:cs="Tahoma"/>
          <w:sz w:val="18"/>
          <w:szCs w:val="18"/>
        </w:rPr>
      </w:pPr>
    </w:p>
    <w:p w:rsidR="00B406FE" w:rsidRPr="001B395D" w:rsidRDefault="00B406FE" w:rsidP="00B26A13">
      <w:pPr>
        <w:rPr>
          <w:rFonts w:ascii="Tahoma" w:hAnsi="Tahoma" w:cs="Tahoma"/>
          <w:sz w:val="18"/>
          <w:szCs w:val="18"/>
        </w:rPr>
      </w:pPr>
    </w:p>
    <w:p w:rsidR="00B406FE" w:rsidRPr="001B395D" w:rsidRDefault="00B406FE" w:rsidP="00B26A13">
      <w:pPr>
        <w:rPr>
          <w:rFonts w:ascii="Tahoma" w:hAnsi="Tahoma" w:cs="Tahoma"/>
          <w:sz w:val="18"/>
          <w:szCs w:val="18"/>
        </w:rPr>
      </w:pPr>
    </w:p>
    <w:p w:rsidR="00B406FE" w:rsidRPr="001B395D" w:rsidRDefault="00B406FE" w:rsidP="00B26A13">
      <w:pPr>
        <w:rPr>
          <w:rFonts w:ascii="Tahoma" w:hAnsi="Tahoma" w:cs="Tahoma"/>
          <w:sz w:val="18"/>
          <w:szCs w:val="18"/>
        </w:rPr>
      </w:pPr>
    </w:p>
    <w:p w:rsidR="00B406FE" w:rsidRPr="001B395D" w:rsidRDefault="00B406FE" w:rsidP="00B26A13">
      <w:pPr>
        <w:rPr>
          <w:rFonts w:ascii="Tahoma" w:hAnsi="Tahoma" w:cs="Tahoma"/>
          <w:sz w:val="18"/>
          <w:szCs w:val="18"/>
        </w:rPr>
      </w:pPr>
    </w:p>
    <w:p w:rsidR="00B406FE" w:rsidRPr="001B395D" w:rsidRDefault="00B406FE" w:rsidP="00B26A13">
      <w:pPr>
        <w:rPr>
          <w:rFonts w:ascii="Tahoma" w:hAnsi="Tahoma" w:cs="Tahoma"/>
          <w:sz w:val="18"/>
          <w:szCs w:val="18"/>
        </w:rPr>
      </w:pPr>
    </w:p>
    <w:p w:rsidR="001C08F2" w:rsidRPr="001B395D" w:rsidRDefault="001C08F2" w:rsidP="00B26A13">
      <w:pPr>
        <w:rPr>
          <w:b/>
        </w:rPr>
      </w:pPr>
      <w:r w:rsidRPr="001B395D">
        <w:rPr>
          <w:rFonts w:ascii="Tahoma" w:hAnsi="Tahoma" w:cs="Tahoma"/>
          <w:sz w:val="18"/>
          <w:szCs w:val="18"/>
        </w:rPr>
        <w:t xml:space="preserve">Извор: ДевИнфо база </w:t>
      </w:r>
      <w:r w:rsidR="00664904" w:rsidRPr="001B395D">
        <w:rPr>
          <w:rFonts w:ascii="Tahoma" w:hAnsi="Tahoma" w:cs="Tahoma"/>
          <w:sz w:val="18"/>
          <w:szCs w:val="18"/>
        </w:rPr>
        <w:t>–</w:t>
      </w:r>
      <w:r w:rsidRPr="001B395D">
        <w:rPr>
          <w:rFonts w:ascii="Tahoma" w:hAnsi="Tahoma" w:cs="Tahoma"/>
          <w:sz w:val="18"/>
          <w:szCs w:val="18"/>
        </w:rPr>
        <w:t xml:space="preserve"> профили општина (примарни извор Статистика образовања RZS), Републичког завода за статистику</w:t>
      </w:r>
      <w:r w:rsidRPr="001B395D">
        <w:rPr>
          <w:rFonts w:ascii="Tahoma" w:eastAsia="Open Sans" w:hAnsi="Tahoma" w:cs="Tahoma"/>
          <w:sz w:val="18"/>
          <w:szCs w:val="18"/>
        </w:rPr>
        <w:t>.</w:t>
      </w:r>
    </w:p>
    <w:p w:rsidR="00DB5D24" w:rsidRPr="001B395D" w:rsidRDefault="00DB5D24" w:rsidP="00B26A13">
      <w:pPr>
        <w:spacing w:after="80" w:line="259" w:lineRule="auto"/>
        <w:jc w:val="both"/>
        <w:rPr>
          <w:rFonts w:ascii="Tahoma" w:hAnsi="Tahoma" w:cs="Tahoma"/>
          <w:sz w:val="10"/>
          <w:szCs w:val="10"/>
        </w:rPr>
      </w:pPr>
    </w:p>
    <w:p w:rsidR="00B31644" w:rsidRPr="001B395D" w:rsidRDefault="000B3EF6" w:rsidP="003E3DBB">
      <w:pPr>
        <w:spacing w:after="160" w:line="259" w:lineRule="auto"/>
        <w:jc w:val="both"/>
        <w:rPr>
          <w:rFonts w:ascii="Tahoma" w:hAnsi="Tahoma" w:cs="Tahoma"/>
          <w:sz w:val="22"/>
          <w:szCs w:val="22"/>
        </w:rPr>
      </w:pPr>
      <w:r w:rsidRPr="001B395D">
        <w:rPr>
          <w:rFonts w:ascii="Tahoma" w:hAnsi="Tahoma" w:cs="Tahoma"/>
          <w:b/>
          <w:color w:val="2F5496"/>
          <w:sz w:val="22"/>
          <w:szCs w:val="22"/>
        </w:rPr>
        <w:t>Између 70</w:t>
      </w:r>
      <w:r w:rsidR="005814C5">
        <w:rPr>
          <w:rFonts w:ascii="Tahoma" w:hAnsi="Tahoma" w:cs="Tahoma"/>
          <w:b/>
          <w:color w:val="2F5496"/>
          <w:sz w:val="22"/>
          <w:szCs w:val="22"/>
        </w:rPr>
        <w:t>%</w:t>
      </w:r>
      <w:r w:rsidRPr="001B395D">
        <w:rPr>
          <w:rFonts w:ascii="Tahoma" w:hAnsi="Tahoma" w:cs="Tahoma"/>
          <w:b/>
          <w:color w:val="2F5496"/>
          <w:sz w:val="22"/>
          <w:szCs w:val="22"/>
        </w:rPr>
        <w:t xml:space="preserve"> и 80% родитеља плаћа пун износ учешћа</w:t>
      </w:r>
      <w:r w:rsidR="00D84132">
        <w:rPr>
          <w:rFonts w:ascii="Tahoma" w:hAnsi="Tahoma" w:cs="Tahoma"/>
          <w:b/>
          <w:color w:val="2F5496"/>
          <w:sz w:val="22"/>
          <w:szCs w:val="22"/>
        </w:rPr>
        <w:t xml:space="preserve"> </w:t>
      </w:r>
      <w:r w:rsidRPr="001B395D">
        <w:rPr>
          <w:rFonts w:ascii="Tahoma" w:hAnsi="Tahoma" w:cs="Tahoma"/>
          <w:b/>
          <w:color w:val="2F5496"/>
          <w:sz w:val="22"/>
          <w:szCs w:val="22"/>
        </w:rPr>
        <w:t>у трошковима ПВО што је далеко више од просека Србије</w:t>
      </w:r>
      <w:r w:rsidR="00D84132">
        <w:rPr>
          <w:rFonts w:ascii="Tahoma" w:hAnsi="Tahoma" w:cs="Tahoma"/>
          <w:b/>
          <w:color w:val="2F5496"/>
          <w:sz w:val="22"/>
          <w:szCs w:val="22"/>
        </w:rPr>
        <w:t xml:space="preserve"> </w:t>
      </w:r>
      <w:r w:rsidRPr="001B395D">
        <w:rPr>
          <w:rFonts w:ascii="Tahoma" w:hAnsi="Tahoma" w:cs="Tahoma"/>
          <w:sz w:val="22"/>
          <w:szCs w:val="22"/>
        </w:rPr>
        <w:t xml:space="preserve">где нешто мање од 60% родитеља плаћа пун износ. Сви остали не плаћају уопште, дакле нема регресирања партиципације. </w:t>
      </w:r>
    </w:p>
    <w:p w:rsidR="00C012EA" w:rsidRPr="001B395D" w:rsidRDefault="00C012EA" w:rsidP="003E3DBB">
      <w:pPr>
        <w:spacing w:line="259" w:lineRule="auto"/>
        <w:rPr>
          <w:rFonts w:ascii="Tahoma" w:hAnsi="Tahoma" w:cs="Tahoma"/>
          <w:b/>
          <w:sz w:val="10"/>
          <w:szCs w:val="10"/>
        </w:rPr>
      </w:pPr>
    </w:p>
    <w:p w:rsidR="00D045DD" w:rsidRPr="001B395D" w:rsidRDefault="00B608B5" w:rsidP="00D045DD">
      <w:pPr>
        <w:spacing w:after="80" w:line="259" w:lineRule="auto"/>
        <w:rPr>
          <w:rFonts w:ascii="Tahoma" w:hAnsi="Tahoma" w:cs="Tahoma"/>
          <w:bCs/>
          <w:color w:val="2F5496"/>
          <w:sz w:val="22"/>
          <w:szCs w:val="22"/>
        </w:rPr>
      </w:pPr>
      <w:r w:rsidRPr="001B395D">
        <w:rPr>
          <w:rFonts w:ascii="Tahoma" w:hAnsi="Tahoma" w:cs="Tahoma"/>
          <w:bCs/>
          <w:color w:val="2F5496"/>
          <w:sz w:val="22"/>
          <w:szCs w:val="22"/>
        </w:rPr>
        <w:t>Графикон</w:t>
      </w:r>
      <w:r w:rsidR="005715A0" w:rsidRPr="001B395D">
        <w:rPr>
          <w:rFonts w:ascii="Tahoma" w:hAnsi="Tahoma" w:cs="Tahoma"/>
          <w:bCs/>
          <w:color w:val="2F5496"/>
          <w:sz w:val="22"/>
          <w:szCs w:val="22"/>
        </w:rPr>
        <w:t>3</w:t>
      </w:r>
      <w:r w:rsidRPr="001B395D">
        <w:rPr>
          <w:rFonts w:ascii="Tahoma" w:hAnsi="Tahoma" w:cs="Tahoma"/>
          <w:bCs/>
          <w:color w:val="2F5496"/>
          <w:sz w:val="22"/>
          <w:szCs w:val="22"/>
        </w:rPr>
        <w:t>. Деца у предшколском образовању према учешћуродитеља у трошковима које родитељи плаћају</w:t>
      </w:r>
      <w:r w:rsidR="00D045DD" w:rsidRPr="001B395D">
        <w:rPr>
          <w:rFonts w:ascii="Tahoma" w:hAnsi="Tahoma" w:cs="Tahoma"/>
          <w:bCs/>
          <w:color w:val="2F5496"/>
          <w:sz w:val="22"/>
          <w:szCs w:val="22"/>
        </w:rPr>
        <w:t xml:space="preserve"> (у %)</w:t>
      </w:r>
      <w:r w:rsidR="003E3DBB" w:rsidRPr="001B395D">
        <w:rPr>
          <w:rFonts w:ascii="Tahoma" w:hAnsi="Tahoma" w:cs="Tahoma"/>
          <w:bCs/>
          <w:color w:val="2F5496"/>
          <w:sz w:val="22"/>
          <w:szCs w:val="22"/>
        </w:rPr>
        <w:t>, за период</w:t>
      </w:r>
      <w:r w:rsidR="00DB5D24" w:rsidRPr="001B395D">
        <w:rPr>
          <w:rFonts w:ascii="Tahoma" w:hAnsi="Tahoma" w:cs="Tahoma"/>
          <w:bCs/>
          <w:color w:val="2F5496"/>
          <w:sz w:val="22"/>
          <w:szCs w:val="22"/>
        </w:rPr>
        <w:t>201</w:t>
      </w:r>
      <w:r w:rsidR="00DA79EA" w:rsidRPr="001B395D">
        <w:rPr>
          <w:rFonts w:ascii="Tahoma" w:hAnsi="Tahoma" w:cs="Tahoma"/>
          <w:bCs/>
          <w:color w:val="2F5496"/>
          <w:sz w:val="22"/>
          <w:szCs w:val="22"/>
        </w:rPr>
        <w:t>8</w:t>
      </w:r>
      <w:r w:rsidR="005715A0" w:rsidRPr="001B395D">
        <w:rPr>
          <w:rFonts w:ascii="Tahoma" w:hAnsi="Tahoma" w:cs="Tahoma"/>
          <w:bCs/>
          <w:color w:val="2F5496"/>
          <w:sz w:val="22"/>
          <w:szCs w:val="22"/>
        </w:rPr>
        <w:t>-20</w:t>
      </w:r>
      <w:r w:rsidR="00516D53" w:rsidRPr="001B395D">
        <w:rPr>
          <w:rFonts w:ascii="Tahoma" w:hAnsi="Tahoma" w:cs="Tahoma"/>
          <w:bCs/>
          <w:color w:val="2F5496"/>
          <w:sz w:val="22"/>
          <w:szCs w:val="22"/>
        </w:rPr>
        <w:t>20</w:t>
      </w:r>
      <w:r w:rsidR="00DB5D24" w:rsidRPr="001B395D">
        <w:rPr>
          <w:rFonts w:ascii="Tahoma" w:hAnsi="Tahoma" w:cs="Tahoma"/>
          <w:bCs/>
          <w:color w:val="2F5496"/>
          <w:sz w:val="22"/>
          <w:szCs w:val="22"/>
        </w:rPr>
        <w:t>.</w:t>
      </w:r>
    </w:p>
    <w:p w:rsidR="006146B8" w:rsidRPr="001B395D" w:rsidRDefault="006146B8" w:rsidP="00D045DD">
      <w:pPr>
        <w:spacing w:after="80" w:line="259" w:lineRule="auto"/>
        <w:rPr>
          <w:rFonts w:ascii="Tahoma" w:hAnsi="Tahoma" w:cs="Tahoma"/>
          <w:bCs/>
          <w:color w:val="2F5496"/>
          <w:sz w:val="22"/>
          <w:szCs w:val="22"/>
        </w:rPr>
      </w:pPr>
    </w:p>
    <w:p w:rsidR="00DB5D24" w:rsidRPr="001B395D" w:rsidRDefault="00650D14" w:rsidP="00FE6A87">
      <w:pPr>
        <w:spacing w:after="80" w:line="259" w:lineRule="auto"/>
        <w:jc w:val="center"/>
        <w:rPr>
          <w:rFonts w:ascii="Tahoma" w:hAnsi="Tahoma" w:cs="Tahoma"/>
          <w:bCs/>
          <w:color w:val="2F5496"/>
          <w:sz w:val="22"/>
          <w:szCs w:val="22"/>
        </w:rPr>
      </w:pPr>
      <w:r w:rsidRPr="001B395D">
        <w:rPr>
          <w:rFonts w:ascii="Tahoma" w:hAnsi="Tahoma" w:cs="Tahoma"/>
          <w:bCs/>
          <w:noProof/>
          <w:color w:val="2F5496"/>
          <w:sz w:val="22"/>
          <w:szCs w:val="22"/>
        </w:rPr>
        <w:lastRenderedPageBreak/>
        <w:drawing>
          <wp:inline distT="0" distB="0" distL="0" distR="0">
            <wp:extent cx="4572000" cy="2482896"/>
            <wp:effectExtent l="0" t="0" r="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92440" w:rsidRPr="001B395D" w:rsidRDefault="000D53EE" w:rsidP="00764B3D">
      <w:pPr>
        <w:jc w:val="both"/>
        <w:textAlignment w:val="center"/>
        <w:rPr>
          <w:rFonts w:ascii="Tahoma" w:eastAsia="Open Sans" w:hAnsi="Tahoma" w:cs="Tahoma"/>
          <w:sz w:val="18"/>
          <w:szCs w:val="18"/>
        </w:rPr>
      </w:pPr>
      <w:r w:rsidRPr="001B395D">
        <w:rPr>
          <w:rFonts w:ascii="Tahoma" w:hAnsi="Tahoma" w:cs="Tahoma"/>
          <w:sz w:val="18"/>
          <w:szCs w:val="18"/>
        </w:rPr>
        <w:t xml:space="preserve">Извор: </w:t>
      </w:r>
      <w:r w:rsidR="00764B3D" w:rsidRPr="001B395D">
        <w:rPr>
          <w:rFonts w:ascii="Tahoma" w:hAnsi="Tahoma" w:cs="Tahoma"/>
          <w:sz w:val="18"/>
          <w:szCs w:val="18"/>
        </w:rPr>
        <w:t>ДевИнфо база – профили општина (примарни извор Статистика образовања RZS), Републичког завода за статистику</w:t>
      </w:r>
      <w:r w:rsidR="00764B3D" w:rsidRPr="001B395D">
        <w:rPr>
          <w:rFonts w:ascii="Tahoma" w:eastAsia="Open Sans" w:hAnsi="Tahoma" w:cs="Tahoma"/>
          <w:sz w:val="18"/>
          <w:szCs w:val="18"/>
        </w:rPr>
        <w:t>.</w:t>
      </w:r>
    </w:p>
    <w:p w:rsidR="001440CB" w:rsidRPr="001B395D" w:rsidRDefault="001440CB" w:rsidP="00764B3D">
      <w:pPr>
        <w:jc w:val="both"/>
        <w:textAlignment w:val="center"/>
        <w:rPr>
          <w:b/>
          <w:color w:val="4472C4" w:themeColor="accent1"/>
        </w:rPr>
      </w:pPr>
    </w:p>
    <w:p w:rsidR="001440CB" w:rsidRPr="001B395D" w:rsidRDefault="001440CB" w:rsidP="00764B3D">
      <w:pPr>
        <w:jc w:val="both"/>
        <w:textAlignment w:val="center"/>
        <w:rPr>
          <w:b/>
          <w:color w:val="4472C4" w:themeColor="accent1"/>
        </w:rPr>
      </w:pPr>
    </w:p>
    <w:p w:rsidR="001440CB" w:rsidRPr="001B395D" w:rsidRDefault="001440CB" w:rsidP="00764B3D">
      <w:pPr>
        <w:jc w:val="both"/>
        <w:textAlignment w:val="center"/>
        <w:rPr>
          <w:b/>
          <w:color w:val="4472C4" w:themeColor="accent1"/>
        </w:rPr>
      </w:pPr>
    </w:p>
    <w:p w:rsidR="00DB5D24" w:rsidRPr="001B395D" w:rsidRDefault="001B395D" w:rsidP="001A5150">
      <w:pPr>
        <w:pStyle w:val="Heading2"/>
        <w:spacing w:before="160" w:after="160" w:line="259" w:lineRule="auto"/>
        <w:rPr>
          <w:rFonts w:ascii="Tahoma" w:hAnsi="Tahoma" w:cs="Tahoma"/>
          <w:b/>
          <w:bCs/>
          <w:color w:val="2F5496"/>
          <w:sz w:val="24"/>
          <w:szCs w:val="24"/>
        </w:rPr>
      </w:pPr>
      <w:r w:rsidRPr="001B395D">
        <w:rPr>
          <w:rFonts w:ascii="Tahoma" w:hAnsi="Tahoma" w:cs="Tahoma"/>
          <w:b/>
          <w:bCs/>
          <w:color w:val="2F5496"/>
          <w:sz w:val="24"/>
          <w:szCs w:val="24"/>
        </w:rPr>
        <w:t>Основно</w:t>
      </w:r>
      <w:r w:rsidR="00384711" w:rsidRPr="001B395D">
        <w:rPr>
          <w:rFonts w:ascii="Tahoma" w:hAnsi="Tahoma" w:cs="Tahoma"/>
          <w:b/>
          <w:bCs/>
          <w:color w:val="2F5496"/>
          <w:sz w:val="24"/>
          <w:szCs w:val="24"/>
        </w:rPr>
        <w:t xml:space="preserve"> образовање </w:t>
      </w:r>
    </w:p>
    <w:p w:rsidR="00ED72EC" w:rsidRPr="001B395D" w:rsidRDefault="00ED72EC" w:rsidP="00384711">
      <w:pPr>
        <w:spacing w:after="160" w:line="259" w:lineRule="auto"/>
        <w:jc w:val="both"/>
        <w:textAlignment w:val="center"/>
        <w:rPr>
          <w:rFonts w:ascii="Tahoma" w:hAnsi="Tahoma" w:cs="Tahoma"/>
          <w:iCs/>
          <w:sz w:val="10"/>
          <w:szCs w:val="10"/>
        </w:rPr>
      </w:pPr>
    </w:p>
    <w:p w:rsidR="000F40CF" w:rsidRPr="001B395D" w:rsidRDefault="000F40CF" w:rsidP="00384711">
      <w:pPr>
        <w:pStyle w:val="MediumGrid1-Accent21"/>
        <w:widowControl w:val="0"/>
        <w:shd w:val="clear" w:color="auto" w:fill="D9E2F3" w:themeFill="accent1" w:themeFillTint="33"/>
        <w:autoSpaceDE w:val="0"/>
        <w:autoSpaceDN w:val="0"/>
        <w:adjustRightInd w:val="0"/>
        <w:spacing w:before="0" w:after="160" w:line="259" w:lineRule="auto"/>
        <w:ind w:left="0"/>
        <w:contextualSpacing w:val="0"/>
        <w:jc w:val="both"/>
        <w:rPr>
          <w:rFonts w:ascii="Tahoma" w:hAnsi="Tahoma" w:cs="Tahoma"/>
          <w:b/>
          <w:bCs/>
          <w:color w:val="1F3864" w:themeColor="accent1" w:themeShade="80"/>
          <w:sz w:val="22"/>
          <w:szCs w:val="22"/>
        </w:rPr>
      </w:pPr>
      <w:r w:rsidRPr="001B395D">
        <w:rPr>
          <w:rFonts w:ascii="Tahoma" w:hAnsi="Tahoma" w:cs="Tahoma"/>
          <w:b/>
          <w:bCs/>
          <w:color w:val="1F3864" w:themeColor="accent1" w:themeShade="80"/>
          <w:sz w:val="22"/>
          <w:szCs w:val="22"/>
        </w:rPr>
        <w:t>О</w:t>
      </w:r>
      <w:r w:rsidR="00384711" w:rsidRPr="001B395D">
        <w:rPr>
          <w:rFonts w:ascii="Tahoma" w:hAnsi="Tahoma" w:cs="Tahoma"/>
          <w:b/>
          <w:bCs/>
          <w:color w:val="1F3864" w:themeColor="accent1" w:themeShade="80"/>
          <w:sz w:val="22"/>
          <w:szCs w:val="22"/>
        </w:rPr>
        <w:t xml:space="preserve">квир </w:t>
      </w:r>
      <w:r w:rsidRPr="001B395D">
        <w:rPr>
          <w:rFonts w:ascii="Tahoma" w:hAnsi="Tahoma" w:cs="Tahoma"/>
          <w:b/>
          <w:bCs/>
          <w:color w:val="1F3864" w:themeColor="accent1" w:themeShade="80"/>
          <w:sz w:val="22"/>
          <w:szCs w:val="22"/>
        </w:rPr>
        <w:t>4. С</w:t>
      </w:r>
      <w:r w:rsidR="00384711" w:rsidRPr="001B395D">
        <w:rPr>
          <w:rFonts w:ascii="Tahoma" w:hAnsi="Tahoma" w:cs="Tahoma"/>
          <w:b/>
          <w:bCs/>
          <w:color w:val="1F3864" w:themeColor="accent1" w:themeShade="80"/>
          <w:sz w:val="22"/>
          <w:szCs w:val="22"/>
        </w:rPr>
        <w:t>тратешки ци</w:t>
      </w:r>
      <w:r w:rsidR="002A111A" w:rsidRPr="001B395D">
        <w:rPr>
          <w:rFonts w:ascii="Tahoma" w:hAnsi="Tahoma" w:cs="Tahoma"/>
          <w:b/>
          <w:bCs/>
          <w:color w:val="1F3864" w:themeColor="accent1" w:themeShade="80"/>
          <w:sz w:val="22"/>
          <w:szCs w:val="22"/>
        </w:rPr>
        <w:t>љ</w:t>
      </w:r>
      <w:r w:rsidR="00384711" w:rsidRPr="001B395D">
        <w:rPr>
          <w:rFonts w:ascii="Tahoma" w:hAnsi="Tahoma" w:cs="Tahoma"/>
          <w:b/>
          <w:bCs/>
          <w:color w:val="1F3864" w:themeColor="accent1" w:themeShade="80"/>
          <w:sz w:val="22"/>
          <w:szCs w:val="22"/>
        </w:rPr>
        <w:t xml:space="preserve">еви основног образовања </w:t>
      </w:r>
    </w:p>
    <w:p w:rsidR="0032035D" w:rsidRPr="001B395D" w:rsidRDefault="00B608B5" w:rsidP="00384711">
      <w:pPr>
        <w:pStyle w:val="MediumGrid1-Accent21"/>
        <w:widowControl w:val="0"/>
        <w:shd w:val="clear" w:color="auto" w:fill="D9E2F3" w:themeFill="accent1" w:themeFillTint="33"/>
        <w:autoSpaceDE w:val="0"/>
        <w:autoSpaceDN w:val="0"/>
        <w:adjustRightInd w:val="0"/>
        <w:spacing w:before="0" w:after="160" w:line="259" w:lineRule="auto"/>
        <w:ind w:left="0"/>
        <w:contextualSpacing w:val="0"/>
        <w:jc w:val="both"/>
        <w:rPr>
          <w:rFonts w:ascii="Tahoma" w:hAnsi="Tahoma" w:cs="Tahoma"/>
          <w:sz w:val="22"/>
          <w:szCs w:val="22"/>
        </w:rPr>
      </w:pPr>
      <w:r w:rsidRPr="001B395D">
        <w:rPr>
          <w:rFonts w:ascii="Tahoma" w:hAnsi="Tahoma" w:cs="Tahoma"/>
          <w:sz w:val="22"/>
          <w:szCs w:val="22"/>
        </w:rPr>
        <w:t>Стратегија образовања до 2020. предвиђала је да «до 2020. године сви дечаци и девојчице законом предвиђеног школског узраста (минимално 98% генерације), без обзира на социо-економске,здравствене,регионалне, националне, језичке, етничке, верске и друге карактеристике, обухваћени су квалитетним основним образовањем и васпитањем из којегосипање није веће од 5% (тј. завршава основну школу 93% генерације), не само нанационалном нивоу већ и за категорије деце из осетљивих група (сеоска, ромска, сиромашна деца и деца са инвалидитетом и сметњама у развоју)» (Влада РС, 2012:29).</w:t>
      </w:r>
    </w:p>
    <w:p w:rsidR="00DD5E72" w:rsidRPr="001B395D" w:rsidRDefault="005E59BA" w:rsidP="00384711">
      <w:pPr>
        <w:pStyle w:val="MediumGrid1-Accent21"/>
        <w:widowControl w:val="0"/>
        <w:shd w:val="clear" w:color="auto" w:fill="D9E2F3" w:themeFill="accent1" w:themeFillTint="33"/>
        <w:autoSpaceDE w:val="0"/>
        <w:autoSpaceDN w:val="0"/>
        <w:adjustRightInd w:val="0"/>
        <w:spacing w:before="0" w:after="160" w:line="259" w:lineRule="auto"/>
        <w:ind w:left="0"/>
        <w:contextualSpacing w:val="0"/>
        <w:jc w:val="both"/>
        <w:rPr>
          <w:rFonts w:ascii="Tahoma" w:hAnsi="Tahoma" w:cs="Tahoma"/>
          <w:sz w:val="22"/>
          <w:szCs w:val="22"/>
        </w:rPr>
      </w:pPr>
      <w:r w:rsidRPr="001B395D">
        <w:rPr>
          <w:rFonts w:ascii="Tahoma" w:hAnsi="Tahoma" w:cs="Tahoma"/>
          <w:sz w:val="22"/>
          <w:szCs w:val="22"/>
        </w:rPr>
        <w:t>Циљеви из Стратегије 2020 су добрим делом остварени, а Стратегије образовања до 2030. предвиђа потпун обухват основним образовањем, побољшање квалитета образовање, оптимизацију мрежа основних школа</w:t>
      </w:r>
      <w:r w:rsidR="00DD5E72" w:rsidRPr="001B395D">
        <w:rPr>
          <w:rFonts w:ascii="Tahoma" w:hAnsi="Tahoma" w:cs="Tahoma"/>
          <w:sz w:val="22"/>
          <w:szCs w:val="22"/>
        </w:rPr>
        <w:t xml:space="preserve">. </w:t>
      </w:r>
    </w:p>
    <w:p w:rsidR="00384711" w:rsidRPr="001B395D" w:rsidRDefault="00384711" w:rsidP="00384711">
      <w:pPr>
        <w:pStyle w:val="MediumGrid1-Accent21"/>
        <w:widowControl w:val="0"/>
        <w:shd w:val="clear" w:color="auto" w:fill="D9E2F3" w:themeFill="accent1" w:themeFillTint="33"/>
        <w:autoSpaceDE w:val="0"/>
        <w:autoSpaceDN w:val="0"/>
        <w:adjustRightInd w:val="0"/>
        <w:spacing w:before="0" w:after="0" w:line="259" w:lineRule="auto"/>
        <w:ind w:left="0"/>
        <w:contextualSpacing w:val="0"/>
        <w:jc w:val="both"/>
        <w:rPr>
          <w:rFonts w:ascii="Tahoma" w:hAnsi="Tahoma" w:cs="Tahoma"/>
          <w:sz w:val="10"/>
          <w:szCs w:val="10"/>
        </w:rPr>
      </w:pPr>
    </w:p>
    <w:p w:rsidR="00384711" w:rsidRPr="001B395D" w:rsidRDefault="00384711" w:rsidP="00384711">
      <w:pPr>
        <w:spacing w:after="160" w:line="259" w:lineRule="auto"/>
        <w:jc w:val="both"/>
        <w:textAlignment w:val="center"/>
        <w:rPr>
          <w:rFonts w:ascii="Tahoma" w:hAnsi="Tahoma" w:cs="Tahoma"/>
          <w:bCs/>
          <w:sz w:val="10"/>
          <w:szCs w:val="10"/>
        </w:rPr>
      </w:pPr>
    </w:p>
    <w:p w:rsidR="00626D18" w:rsidRPr="001B395D" w:rsidRDefault="00A60662" w:rsidP="00384711">
      <w:pPr>
        <w:spacing w:after="160" w:line="259" w:lineRule="auto"/>
        <w:jc w:val="both"/>
        <w:textAlignment w:val="center"/>
        <w:rPr>
          <w:rFonts w:ascii="Tahoma" w:hAnsi="Tahoma" w:cs="Tahoma"/>
          <w:color w:val="000000" w:themeColor="text1"/>
          <w:sz w:val="22"/>
          <w:szCs w:val="22"/>
        </w:rPr>
      </w:pPr>
      <w:r w:rsidRPr="001B395D">
        <w:rPr>
          <w:rFonts w:ascii="Tahoma" w:hAnsi="Tahoma" w:cs="Tahoma"/>
          <w:b/>
          <w:color w:val="2F5496"/>
          <w:sz w:val="22"/>
          <w:szCs w:val="22"/>
        </w:rPr>
        <w:t xml:space="preserve">У </w:t>
      </w:r>
      <w:r w:rsidR="0044271B" w:rsidRPr="001B395D">
        <w:rPr>
          <w:rFonts w:ascii="Tahoma" w:hAnsi="Tahoma" w:cs="Tahoma"/>
          <w:b/>
          <w:color w:val="2F5496"/>
          <w:sz w:val="22"/>
          <w:szCs w:val="22"/>
        </w:rPr>
        <w:t>Смедеревској Паланци</w:t>
      </w:r>
      <w:r w:rsidRPr="001B395D">
        <w:rPr>
          <w:rFonts w:ascii="Tahoma" w:hAnsi="Tahoma" w:cs="Tahoma"/>
          <w:b/>
          <w:color w:val="2F5496"/>
          <w:sz w:val="22"/>
          <w:szCs w:val="22"/>
        </w:rPr>
        <w:t xml:space="preserve"> постој</w:t>
      </w:r>
      <w:r w:rsidR="0044271B" w:rsidRPr="001B395D">
        <w:rPr>
          <w:rFonts w:ascii="Tahoma" w:hAnsi="Tahoma" w:cs="Tahoma"/>
          <w:b/>
          <w:color w:val="2F5496"/>
          <w:sz w:val="22"/>
          <w:szCs w:val="22"/>
        </w:rPr>
        <w:t>е</w:t>
      </w:r>
      <w:r w:rsidR="00FE6A87" w:rsidRPr="001B395D">
        <w:rPr>
          <w:rFonts w:ascii="Tahoma" w:hAnsi="Tahoma" w:cs="Tahoma"/>
          <w:b/>
          <w:color w:val="2F5496"/>
          <w:sz w:val="22"/>
          <w:szCs w:val="22"/>
        </w:rPr>
        <w:t>11</w:t>
      </w:r>
      <w:r w:rsidRPr="001B395D">
        <w:rPr>
          <w:rFonts w:ascii="Tahoma" w:hAnsi="Tahoma" w:cs="Tahoma"/>
          <w:b/>
          <w:color w:val="2F5496"/>
          <w:sz w:val="22"/>
          <w:szCs w:val="22"/>
        </w:rPr>
        <w:t xml:space="preserve"> матичних основних школа</w:t>
      </w:r>
      <w:r w:rsidR="00D84132">
        <w:rPr>
          <w:rFonts w:ascii="Tahoma" w:hAnsi="Tahoma" w:cs="Tahoma"/>
          <w:b/>
          <w:color w:val="2F5496"/>
          <w:sz w:val="22"/>
          <w:szCs w:val="22"/>
        </w:rPr>
        <w:t xml:space="preserve"> </w:t>
      </w:r>
      <w:r w:rsidRPr="001B395D">
        <w:rPr>
          <w:rFonts w:ascii="Tahoma" w:hAnsi="Tahoma" w:cs="Tahoma"/>
          <w:b/>
          <w:color w:val="2F5496"/>
          <w:sz w:val="22"/>
          <w:szCs w:val="22"/>
        </w:rPr>
        <w:t>са 1</w:t>
      </w:r>
      <w:r w:rsidR="00DA753F" w:rsidRPr="001B395D">
        <w:rPr>
          <w:rFonts w:ascii="Tahoma" w:hAnsi="Tahoma" w:cs="Tahoma"/>
          <w:b/>
          <w:color w:val="2F5496"/>
          <w:sz w:val="22"/>
          <w:szCs w:val="22"/>
        </w:rPr>
        <w:t>1</w:t>
      </w:r>
      <w:r w:rsidRPr="001B395D">
        <w:rPr>
          <w:rFonts w:ascii="Tahoma" w:hAnsi="Tahoma" w:cs="Tahoma"/>
          <w:b/>
          <w:color w:val="2F5496"/>
          <w:sz w:val="22"/>
          <w:szCs w:val="22"/>
        </w:rPr>
        <w:t xml:space="preserve"> подручних (издвојених)</w:t>
      </w:r>
      <w:r w:rsidR="00DA753F" w:rsidRPr="001B395D">
        <w:rPr>
          <w:rFonts w:ascii="Tahoma" w:hAnsi="Tahoma" w:cs="Tahoma"/>
          <w:b/>
          <w:color w:val="2F5496"/>
          <w:sz w:val="22"/>
          <w:szCs w:val="22"/>
        </w:rPr>
        <w:t xml:space="preserve"> одељења.</w:t>
      </w:r>
      <w:r w:rsidR="00DA753F" w:rsidRPr="001B395D">
        <w:rPr>
          <w:rFonts w:ascii="Tahoma" w:hAnsi="Tahoma" w:cs="Tahoma"/>
          <w:color w:val="000000" w:themeColor="text1"/>
          <w:sz w:val="22"/>
          <w:szCs w:val="22"/>
        </w:rPr>
        <w:t>Само 4 матичне школе су у седишту општине</w:t>
      </w:r>
      <w:r w:rsidR="00377CAD">
        <w:rPr>
          <w:rFonts w:ascii="Tahoma" w:hAnsi="Tahoma" w:cs="Tahoma"/>
          <w:color w:val="000000" w:themeColor="text1"/>
          <w:sz w:val="22"/>
          <w:szCs w:val="22"/>
        </w:rPr>
        <w:t>,</w:t>
      </w:r>
      <w:r w:rsidR="00DA753F" w:rsidRPr="001B395D">
        <w:rPr>
          <w:rFonts w:ascii="Tahoma" w:hAnsi="Tahoma" w:cs="Tahoma"/>
          <w:color w:val="000000" w:themeColor="text1"/>
          <w:sz w:val="22"/>
          <w:szCs w:val="22"/>
        </w:rPr>
        <w:t xml:space="preserve"> а чак 7 школа</w:t>
      </w:r>
      <w:r w:rsidR="00626D18" w:rsidRPr="001B395D">
        <w:rPr>
          <w:rFonts w:ascii="Tahoma" w:hAnsi="Tahoma" w:cs="Tahoma"/>
          <w:color w:val="000000" w:themeColor="text1"/>
          <w:sz w:val="22"/>
          <w:szCs w:val="22"/>
        </w:rPr>
        <w:t xml:space="preserve"> се налазе у сеоским срединама</w:t>
      </w:r>
      <w:r w:rsidR="00060414" w:rsidRPr="001B395D">
        <w:rPr>
          <w:rFonts w:ascii="Tahoma" w:hAnsi="Tahoma" w:cs="Tahoma"/>
          <w:color w:val="000000" w:themeColor="text1"/>
          <w:sz w:val="22"/>
          <w:szCs w:val="22"/>
        </w:rPr>
        <w:t>.</w:t>
      </w:r>
      <w:r w:rsidR="00DA753F" w:rsidRPr="001B395D">
        <w:rPr>
          <w:rFonts w:ascii="Tahoma" w:hAnsi="Tahoma" w:cs="Tahoma"/>
          <w:color w:val="000000" w:themeColor="text1"/>
          <w:sz w:val="22"/>
          <w:szCs w:val="22"/>
        </w:rPr>
        <w:t xml:space="preserve">Сва подручна одељења се налазе у сеоским срединама, што је типична ситуација у Србији. </w:t>
      </w:r>
      <w:r w:rsidR="00626D18" w:rsidRPr="001B395D">
        <w:rPr>
          <w:rFonts w:ascii="Tahoma" w:hAnsi="Tahoma" w:cs="Tahoma"/>
          <w:color w:val="000000" w:themeColor="text1"/>
          <w:sz w:val="22"/>
          <w:szCs w:val="22"/>
        </w:rPr>
        <w:t>При редовним школама постоје и специјална одељења за децу са сметњама у развоју и инвалидитетом, али се и значајан број ученика образују по ИОП1 и ИОП2 програму и види се пораст деце која се образују инклузивно.</w:t>
      </w:r>
    </w:p>
    <w:p w:rsidR="00060414" w:rsidRPr="001B395D" w:rsidRDefault="00060414" w:rsidP="00BE5FB7">
      <w:pPr>
        <w:spacing w:line="259" w:lineRule="auto"/>
        <w:jc w:val="both"/>
        <w:textAlignment w:val="center"/>
        <w:rPr>
          <w:rFonts w:ascii="Tahoma" w:hAnsi="Tahoma" w:cs="Tahoma"/>
          <w:b/>
          <w:sz w:val="10"/>
          <w:szCs w:val="10"/>
        </w:rPr>
      </w:pPr>
    </w:p>
    <w:p w:rsidR="00DB5D24" w:rsidRPr="001B395D" w:rsidRDefault="00A60662" w:rsidP="00384711">
      <w:pPr>
        <w:spacing w:after="160" w:line="259" w:lineRule="auto"/>
        <w:textAlignment w:val="center"/>
        <w:rPr>
          <w:rFonts w:ascii="Tahoma" w:hAnsi="Tahoma" w:cs="Tahoma"/>
          <w:bCs/>
          <w:color w:val="2F5496" w:themeColor="accent1" w:themeShade="BF"/>
          <w:sz w:val="22"/>
          <w:szCs w:val="22"/>
        </w:rPr>
      </w:pPr>
      <w:r w:rsidRPr="001B395D">
        <w:rPr>
          <w:rFonts w:ascii="Tahoma" w:hAnsi="Tahoma" w:cs="Tahoma"/>
          <w:bCs/>
          <w:color w:val="2F5496" w:themeColor="accent1" w:themeShade="BF"/>
          <w:sz w:val="22"/>
          <w:szCs w:val="22"/>
        </w:rPr>
        <w:t>Графикон</w:t>
      </w:r>
      <w:r w:rsidR="005715A0" w:rsidRPr="001B395D">
        <w:rPr>
          <w:rFonts w:ascii="Tahoma" w:hAnsi="Tahoma" w:cs="Tahoma"/>
          <w:bCs/>
          <w:color w:val="2F5496" w:themeColor="accent1" w:themeShade="BF"/>
          <w:sz w:val="22"/>
          <w:szCs w:val="22"/>
        </w:rPr>
        <w:t>4</w:t>
      </w:r>
      <w:r w:rsidR="00DB5D24" w:rsidRPr="001B395D">
        <w:rPr>
          <w:rFonts w:ascii="Tahoma" w:hAnsi="Tahoma" w:cs="Tahoma"/>
          <w:bCs/>
          <w:color w:val="2F5496" w:themeColor="accent1" w:themeShade="BF"/>
          <w:sz w:val="22"/>
          <w:szCs w:val="22"/>
        </w:rPr>
        <w:t xml:space="preserve">. </w:t>
      </w:r>
      <w:r w:rsidRPr="001B395D">
        <w:rPr>
          <w:rFonts w:ascii="Tahoma" w:hAnsi="Tahoma" w:cs="Tahoma"/>
          <w:bCs/>
          <w:color w:val="2F5496" w:themeColor="accent1" w:themeShade="BF"/>
          <w:sz w:val="22"/>
          <w:szCs w:val="22"/>
        </w:rPr>
        <w:t>Oсновне школе према типу насеља</w:t>
      </w:r>
      <w:r w:rsidR="00DB5D24" w:rsidRPr="001B395D">
        <w:rPr>
          <w:rFonts w:ascii="Tahoma" w:hAnsi="Tahoma" w:cs="Tahoma"/>
          <w:bCs/>
          <w:color w:val="2F5496" w:themeColor="accent1" w:themeShade="BF"/>
          <w:sz w:val="22"/>
          <w:szCs w:val="22"/>
        </w:rPr>
        <w:t xml:space="preserve">, </w:t>
      </w:r>
      <w:r w:rsidR="00BE5FB7" w:rsidRPr="001B395D">
        <w:rPr>
          <w:rFonts w:ascii="Tahoma" w:hAnsi="Tahoma" w:cs="Tahoma"/>
          <w:bCs/>
          <w:color w:val="2F5496" w:themeColor="accent1" w:themeShade="BF"/>
          <w:sz w:val="22"/>
          <w:szCs w:val="22"/>
        </w:rPr>
        <w:t xml:space="preserve">у </w:t>
      </w:r>
      <w:r w:rsidR="00DB5D24" w:rsidRPr="001B395D">
        <w:rPr>
          <w:rFonts w:ascii="Tahoma" w:hAnsi="Tahoma" w:cs="Tahoma"/>
          <w:bCs/>
          <w:color w:val="2F5496" w:themeColor="accent1" w:themeShade="BF"/>
          <w:sz w:val="22"/>
          <w:szCs w:val="22"/>
        </w:rPr>
        <w:t>20</w:t>
      </w:r>
      <w:r w:rsidR="009F03D6" w:rsidRPr="001B395D">
        <w:rPr>
          <w:rFonts w:ascii="Tahoma" w:hAnsi="Tahoma" w:cs="Tahoma"/>
          <w:bCs/>
          <w:color w:val="2F5496" w:themeColor="accent1" w:themeShade="BF"/>
          <w:sz w:val="22"/>
          <w:szCs w:val="22"/>
        </w:rPr>
        <w:t>2</w:t>
      </w:r>
      <w:r w:rsidR="00912A57" w:rsidRPr="001B395D">
        <w:rPr>
          <w:rFonts w:ascii="Tahoma" w:hAnsi="Tahoma" w:cs="Tahoma"/>
          <w:bCs/>
          <w:color w:val="2F5496" w:themeColor="accent1" w:themeShade="BF"/>
          <w:sz w:val="22"/>
          <w:szCs w:val="22"/>
        </w:rPr>
        <w:t>1</w:t>
      </w:r>
      <w:r w:rsidR="00BE5FB7" w:rsidRPr="001B395D">
        <w:rPr>
          <w:rFonts w:ascii="Tahoma" w:hAnsi="Tahoma" w:cs="Tahoma"/>
          <w:bCs/>
          <w:color w:val="2F5496" w:themeColor="accent1" w:themeShade="BF"/>
          <w:sz w:val="22"/>
          <w:szCs w:val="22"/>
        </w:rPr>
        <w:t>. години</w:t>
      </w:r>
    </w:p>
    <w:p w:rsidR="00DB5D24" w:rsidRPr="001B395D" w:rsidRDefault="006348C0" w:rsidP="000D53EE">
      <w:pPr>
        <w:jc w:val="center"/>
        <w:rPr>
          <w:b/>
          <w:smallCaps/>
        </w:rPr>
      </w:pPr>
      <w:r w:rsidRPr="001B395D">
        <w:rPr>
          <w:b/>
          <w:smallCaps/>
          <w:noProof/>
        </w:rPr>
        <w:lastRenderedPageBreak/>
        <w:drawing>
          <wp:inline distT="0" distB="0" distL="0" distR="0">
            <wp:extent cx="4138161" cy="2109128"/>
            <wp:effectExtent l="0" t="0" r="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62380" w:rsidRPr="001B395D" w:rsidRDefault="00E62380" w:rsidP="000D53EE">
      <w:pPr>
        <w:jc w:val="both"/>
        <w:textAlignment w:val="center"/>
        <w:rPr>
          <w:rFonts w:ascii="Tahoma" w:hAnsi="Tahoma" w:cs="Tahoma"/>
          <w:sz w:val="18"/>
          <w:szCs w:val="18"/>
        </w:rPr>
      </w:pPr>
    </w:p>
    <w:p w:rsidR="000D53EE" w:rsidRPr="001B395D" w:rsidRDefault="000D53EE" w:rsidP="000D53EE">
      <w:pPr>
        <w:jc w:val="both"/>
        <w:textAlignment w:val="center"/>
        <w:rPr>
          <w:b/>
          <w:color w:val="4472C4" w:themeColor="accent1"/>
        </w:rPr>
      </w:pPr>
      <w:r w:rsidRPr="001B395D">
        <w:rPr>
          <w:rFonts w:ascii="Tahoma" w:hAnsi="Tahoma" w:cs="Tahoma"/>
          <w:sz w:val="18"/>
          <w:szCs w:val="18"/>
        </w:rPr>
        <w:t>Извор: ДевИнфо база – профили општина, Републичког завода за статистику</w:t>
      </w:r>
      <w:r w:rsidRPr="001B395D">
        <w:rPr>
          <w:rFonts w:ascii="Tahoma" w:eastAsia="Open Sans" w:hAnsi="Tahoma" w:cs="Tahoma"/>
          <w:sz w:val="18"/>
          <w:szCs w:val="18"/>
        </w:rPr>
        <w:t>.</w:t>
      </w:r>
    </w:p>
    <w:p w:rsidR="000D53EE" w:rsidRPr="001B395D" w:rsidRDefault="000D53EE" w:rsidP="000D53EE">
      <w:pPr>
        <w:spacing w:after="160" w:line="259" w:lineRule="auto"/>
        <w:jc w:val="both"/>
        <w:textAlignment w:val="center"/>
        <w:rPr>
          <w:rFonts w:ascii="Tahoma" w:hAnsi="Tahoma" w:cs="Tahoma"/>
          <w:sz w:val="10"/>
          <w:szCs w:val="10"/>
        </w:rPr>
      </w:pPr>
    </w:p>
    <w:p w:rsidR="00954416" w:rsidRPr="001B395D" w:rsidRDefault="00626D18" w:rsidP="000D53EE">
      <w:pPr>
        <w:jc w:val="both"/>
        <w:textAlignment w:val="center"/>
        <w:rPr>
          <w:b/>
          <w:color w:val="4472C4" w:themeColor="accent1"/>
        </w:rPr>
      </w:pPr>
      <w:r w:rsidRPr="001B395D">
        <w:rPr>
          <w:rFonts w:ascii="Tahoma" w:hAnsi="Tahoma" w:cs="Tahoma"/>
          <w:b/>
          <w:color w:val="2F5496" w:themeColor="accent1" w:themeShade="BF"/>
          <w:sz w:val="22"/>
          <w:szCs w:val="22"/>
        </w:rPr>
        <w:t>Просечан број ученика у основним школама је низак</w:t>
      </w:r>
      <w:r w:rsidR="00D84132">
        <w:rPr>
          <w:rFonts w:ascii="Tahoma" w:hAnsi="Tahoma" w:cs="Tahoma"/>
          <w:b/>
          <w:color w:val="2F5496" w:themeColor="accent1" w:themeShade="BF"/>
          <w:sz w:val="22"/>
          <w:szCs w:val="22"/>
        </w:rPr>
        <w:t xml:space="preserve">  </w:t>
      </w:r>
      <w:r w:rsidR="00DA753F" w:rsidRPr="001B395D">
        <w:rPr>
          <w:rFonts w:ascii="Tahoma" w:hAnsi="Tahoma" w:cs="Tahoma"/>
          <w:sz w:val="22"/>
          <w:szCs w:val="22"/>
        </w:rPr>
        <w:t>(Табела 4)</w:t>
      </w:r>
      <w:r w:rsidRPr="001B395D">
        <w:rPr>
          <w:rFonts w:ascii="Tahoma" w:hAnsi="Tahoma" w:cs="Tahoma"/>
          <w:sz w:val="22"/>
          <w:szCs w:val="22"/>
        </w:rPr>
        <w:t>. Просек је низак чак и у матичним школама</w:t>
      </w:r>
      <w:r w:rsidR="00DA753F" w:rsidRPr="001B395D">
        <w:rPr>
          <w:rFonts w:ascii="Tahoma" w:hAnsi="Tahoma" w:cs="Tahoma"/>
          <w:sz w:val="22"/>
          <w:szCs w:val="22"/>
        </w:rPr>
        <w:t>.</w:t>
      </w:r>
      <w:r w:rsidRPr="001B395D">
        <w:rPr>
          <w:rFonts w:ascii="Tahoma" w:hAnsi="Tahoma" w:cs="Tahoma"/>
          <w:sz w:val="22"/>
          <w:szCs w:val="22"/>
        </w:rPr>
        <w:t xml:space="preserve"> Разлог је велики број матичних школа у сеоским насељима, што није типично за Србију.</w:t>
      </w:r>
      <w:r w:rsidR="00A642D4" w:rsidRPr="001B395D">
        <w:rPr>
          <w:rFonts w:ascii="Tahoma" w:hAnsi="Tahoma" w:cs="Tahoma"/>
          <w:sz w:val="22"/>
          <w:szCs w:val="22"/>
        </w:rPr>
        <w:t xml:space="preserve"> Просек у подручним школама је </w:t>
      </w:r>
      <w:r w:rsidR="00DA753F" w:rsidRPr="001B395D">
        <w:rPr>
          <w:rFonts w:ascii="Tahoma" w:hAnsi="Tahoma" w:cs="Tahoma"/>
          <w:sz w:val="22"/>
          <w:szCs w:val="22"/>
        </w:rPr>
        <w:t>очекивано низак, он је на нивоу просека за подручје Србија-Југ али је значајно нижи у односу на Подунавску област у којој се Смедеревска Паланка налази. За старије разреде је тај просек још нижи, што указује да деца из старијих разреда вероватно путују у матичне школе тј. да нису сва издвојена одељења намењена и старијим ђацима.</w:t>
      </w:r>
    </w:p>
    <w:p w:rsidR="00A642D4" w:rsidRPr="001B395D" w:rsidRDefault="00A642D4" w:rsidP="00EF1FA1">
      <w:pPr>
        <w:spacing w:line="259" w:lineRule="auto"/>
        <w:rPr>
          <w:rFonts w:ascii="Tahoma" w:hAnsi="Tahoma" w:cs="Tahoma"/>
          <w:sz w:val="10"/>
          <w:szCs w:val="10"/>
        </w:rPr>
      </w:pPr>
    </w:p>
    <w:p w:rsidR="00DA753F" w:rsidRPr="001B395D" w:rsidRDefault="00DA753F" w:rsidP="00EF1FA1">
      <w:pPr>
        <w:spacing w:line="259" w:lineRule="auto"/>
        <w:rPr>
          <w:rFonts w:ascii="Tahoma" w:hAnsi="Tahoma" w:cs="Tahoma"/>
          <w:sz w:val="10"/>
          <w:szCs w:val="10"/>
        </w:rPr>
      </w:pPr>
    </w:p>
    <w:p w:rsidR="000D4C6F" w:rsidRPr="001B395D" w:rsidRDefault="00A642D4" w:rsidP="00157643">
      <w:pPr>
        <w:spacing w:after="80" w:line="259" w:lineRule="auto"/>
        <w:rPr>
          <w:rFonts w:ascii="Tahoma" w:hAnsi="Tahoma" w:cs="Tahoma"/>
          <w:bCs/>
          <w:color w:val="2F5496"/>
          <w:sz w:val="22"/>
          <w:szCs w:val="22"/>
        </w:rPr>
      </w:pPr>
      <w:r w:rsidRPr="001B395D">
        <w:rPr>
          <w:rFonts w:ascii="Tahoma" w:hAnsi="Tahoma" w:cs="Tahoma"/>
          <w:bCs/>
          <w:color w:val="2F5496"/>
          <w:sz w:val="22"/>
          <w:szCs w:val="22"/>
        </w:rPr>
        <w:t>Taбел</w:t>
      </w:r>
      <w:r w:rsidR="000D4C6F" w:rsidRPr="001B395D">
        <w:rPr>
          <w:rFonts w:ascii="Tahoma" w:hAnsi="Tahoma" w:cs="Tahoma"/>
          <w:bCs/>
          <w:color w:val="2F5496"/>
          <w:sz w:val="22"/>
          <w:szCs w:val="22"/>
        </w:rPr>
        <w:t xml:space="preserve">a </w:t>
      </w:r>
      <w:r w:rsidR="009A51E8" w:rsidRPr="001B395D">
        <w:rPr>
          <w:rFonts w:ascii="Tahoma" w:hAnsi="Tahoma" w:cs="Tahoma"/>
          <w:bCs/>
          <w:color w:val="2F5496"/>
          <w:sz w:val="22"/>
          <w:szCs w:val="22"/>
        </w:rPr>
        <w:t>4</w:t>
      </w:r>
      <w:r w:rsidRPr="001B395D">
        <w:rPr>
          <w:rFonts w:ascii="Tahoma" w:hAnsi="Tahoma" w:cs="Tahoma"/>
          <w:bCs/>
          <w:color w:val="2F5496"/>
          <w:sz w:val="22"/>
          <w:szCs w:val="22"/>
        </w:rPr>
        <w:t>. Просечан број ученика у школама</w:t>
      </w:r>
      <w:r w:rsidR="00F14E93" w:rsidRPr="001B395D">
        <w:rPr>
          <w:rFonts w:ascii="Tahoma" w:hAnsi="Tahoma" w:cs="Tahoma"/>
          <w:bCs/>
          <w:color w:val="2F5496"/>
          <w:sz w:val="22"/>
          <w:szCs w:val="22"/>
        </w:rPr>
        <w:t xml:space="preserve"> у 2021.</w:t>
      </w:r>
      <w:r w:rsidR="00F14E93" w:rsidRPr="001B395D">
        <w:rPr>
          <w:rFonts w:ascii="Tahoma" w:hAnsi="Tahoma" w:cs="Tahoma"/>
          <w:bCs/>
          <w:color w:val="2F5496" w:themeColor="accent1" w:themeShade="BF"/>
          <w:sz w:val="22"/>
          <w:szCs w:val="22"/>
        </w:rPr>
        <w:t xml:space="preserve"> години</w:t>
      </w:r>
    </w:p>
    <w:tbl>
      <w:tblPr>
        <w:tblStyle w:val="GridTable5Dark-Accent51"/>
        <w:tblpPr w:leftFromText="180" w:rightFromText="180" w:vertAnchor="text" w:horzAnchor="margin" w:tblpY="4"/>
        <w:tblW w:w="8926" w:type="dxa"/>
        <w:tblLayout w:type="fixed"/>
        <w:tblLook w:val="04A0" w:firstRow="1" w:lastRow="0" w:firstColumn="1" w:lastColumn="0" w:noHBand="0" w:noVBand="1"/>
      </w:tblPr>
      <w:tblGrid>
        <w:gridCol w:w="4068"/>
        <w:gridCol w:w="1800"/>
        <w:gridCol w:w="1710"/>
        <w:gridCol w:w="1348"/>
      </w:tblGrid>
      <w:tr w:rsidR="0030364B" w:rsidRPr="001B395D" w:rsidTr="00A529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Borders>
              <w:right w:val="single" w:sz="4" w:space="0" w:color="FFFFFF" w:themeColor="background1"/>
            </w:tcBorders>
            <w:shd w:val="clear" w:color="auto" w:fill="2F5496" w:themeFill="accent1" w:themeFillShade="BF"/>
          </w:tcPr>
          <w:p w:rsidR="0030364B" w:rsidRPr="001B395D" w:rsidRDefault="0030364B" w:rsidP="00A52928">
            <w:pPr>
              <w:rPr>
                <w:rFonts w:ascii="Tahoma" w:hAnsi="Tahoma" w:cs="Tahoma"/>
              </w:rPr>
            </w:pPr>
          </w:p>
        </w:tc>
        <w:tc>
          <w:tcPr>
            <w:tcW w:w="1800" w:type="dxa"/>
            <w:tcBorders>
              <w:left w:val="single" w:sz="4" w:space="0" w:color="FFFFFF" w:themeColor="background1"/>
              <w:right w:val="single" w:sz="4" w:space="0" w:color="FFFFFF" w:themeColor="background1"/>
            </w:tcBorders>
            <w:shd w:val="clear" w:color="auto" w:fill="2F5496" w:themeFill="accent1" w:themeFillShade="BF"/>
            <w:vAlign w:val="center"/>
          </w:tcPr>
          <w:p w:rsidR="0030364B" w:rsidRPr="001B395D" w:rsidRDefault="0030364B" w:rsidP="00A52928">
            <w:pPr>
              <w:jc w:val="center"/>
              <w:cnfStyle w:val="100000000000" w:firstRow="1" w:lastRow="0" w:firstColumn="0" w:lastColumn="0" w:oddVBand="0" w:evenVBand="0" w:oddHBand="0" w:evenHBand="0" w:firstRowFirstColumn="0" w:firstRowLastColumn="0" w:lastRowFirstColumn="0" w:lastRowLastColumn="0"/>
              <w:rPr>
                <w:rFonts w:ascii="Tahoma" w:hAnsi="Tahoma" w:cs="Tahoma"/>
              </w:rPr>
            </w:pPr>
            <w:r w:rsidRPr="001B395D">
              <w:rPr>
                <w:rFonts w:ascii="Tahoma" w:hAnsi="Tahoma" w:cs="Tahoma"/>
              </w:rPr>
              <w:t>Смедеревска Паланка</w:t>
            </w:r>
          </w:p>
        </w:tc>
        <w:tc>
          <w:tcPr>
            <w:tcW w:w="1710" w:type="dxa"/>
            <w:tcBorders>
              <w:left w:val="single" w:sz="4" w:space="0" w:color="FFFFFF" w:themeColor="background1"/>
              <w:right w:val="single" w:sz="4" w:space="0" w:color="FFFFFF" w:themeColor="background1"/>
            </w:tcBorders>
            <w:shd w:val="clear" w:color="auto" w:fill="2F5496" w:themeFill="accent1" w:themeFillShade="BF"/>
            <w:vAlign w:val="center"/>
          </w:tcPr>
          <w:p w:rsidR="0030364B" w:rsidRPr="001B395D" w:rsidRDefault="0030364B" w:rsidP="00A52928">
            <w:pPr>
              <w:jc w:val="center"/>
              <w:cnfStyle w:val="100000000000" w:firstRow="1" w:lastRow="0" w:firstColumn="0" w:lastColumn="0" w:oddVBand="0" w:evenVBand="0" w:oddHBand="0" w:evenHBand="0" w:firstRowFirstColumn="0" w:firstRowLastColumn="0" w:lastRowFirstColumn="0" w:lastRowLastColumn="0"/>
              <w:rPr>
                <w:rFonts w:ascii="Tahoma" w:hAnsi="Tahoma" w:cs="Tahoma"/>
              </w:rPr>
            </w:pPr>
            <w:r w:rsidRPr="001B395D">
              <w:rPr>
                <w:rFonts w:ascii="Tahoma" w:hAnsi="Tahoma" w:cs="Tahoma"/>
              </w:rPr>
              <w:t>Подунавска област</w:t>
            </w:r>
          </w:p>
        </w:tc>
        <w:tc>
          <w:tcPr>
            <w:tcW w:w="1348" w:type="dxa"/>
            <w:tcBorders>
              <w:left w:val="single" w:sz="4" w:space="0" w:color="FFFFFF" w:themeColor="background1"/>
            </w:tcBorders>
            <w:shd w:val="clear" w:color="auto" w:fill="2F5496" w:themeFill="accent1" w:themeFillShade="BF"/>
            <w:vAlign w:val="center"/>
          </w:tcPr>
          <w:p w:rsidR="0030364B" w:rsidRPr="001B395D" w:rsidRDefault="0030364B" w:rsidP="00A52928">
            <w:pPr>
              <w:jc w:val="center"/>
              <w:cnfStyle w:val="100000000000" w:firstRow="1" w:lastRow="0" w:firstColumn="0" w:lastColumn="0" w:oddVBand="0" w:evenVBand="0" w:oddHBand="0" w:evenHBand="0" w:firstRowFirstColumn="0" w:firstRowLastColumn="0" w:lastRowFirstColumn="0" w:lastRowLastColumn="0"/>
              <w:rPr>
                <w:rFonts w:ascii="Tahoma" w:hAnsi="Tahoma" w:cs="Tahoma"/>
              </w:rPr>
            </w:pPr>
            <w:r w:rsidRPr="001B395D">
              <w:rPr>
                <w:rFonts w:ascii="Tahoma" w:hAnsi="Tahoma" w:cs="Tahoma"/>
              </w:rPr>
              <w:t>Србијa - Југ</w:t>
            </w:r>
          </w:p>
        </w:tc>
      </w:tr>
      <w:tr w:rsidR="0030364B" w:rsidRPr="001B395D" w:rsidTr="00A52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Borders>
              <w:right w:val="single" w:sz="4" w:space="0" w:color="FFFFFF" w:themeColor="background1"/>
            </w:tcBorders>
            <w:shd w:val="clear" w:color="auto" w:fill="8EAADB" w:themeFill="accent1" w:themeFillTint="99"/>
          </w:tcPr>
          <w:p w:rsidR="0030364B" w:rsidRPr="001B395D" w:rsidRDefault="0030364B" w:rsidP="00A52928">
            <w:pPr>
              <w:rPr>
                <w:rFonts w:ascii="Tahoma" w:hAnsi="Tahoma" w:cs="Tahoma"/>
              </w:rPr>
            </w:pPr>
          </w:p>
        </w:tc>
        <w:tc>
          <w:tcPr>
            <w:tcW w:w="4858" w:type="dxa"/>
            <w:gridSpan w:val="3"/>
            <w:tcBorders>
              <w:left w:val="single" w:sz="4" w:space="0" w:color="FFFFFF" w:themeColor="background1"/>
            </w:tcBorders>
            <w:shd w:val="clear" w:color="auto" w:fill="8EAADB" w:themeFill="accent1" w:themeFillTint="99"/>
            <w:vAlign w:val="center"/>
          </w:tcPr>
          <w:p w:rsidR="0030364B" w:rsidRPr="001B395D" w:rsidRDefault="0030364B" w:rsidP="00A52928">
            <w:pPr>
              <w:jc w:val="center"/>
              <w:cnfStyle w:val="000000100000" w:firstRow="0" w:lastRow="0" w:firstColumn="0" w:lastColumn="0" w:oddVBand="0" w:evenVBand="0" w:oddHBand="1" w:evenHBand="0" w:firstRowFirstColumn="0" w:firstRowLastColumn="0" w:lastRowFirstColumn="0" w:lastRowLastColumn="0"/>
              <w:rPr>
                <w:rFonts w:ascii="Tahoma" w:hAnsi="Tahoma" w:cs="Tahoma"/>
                <w:b/>
                <w:bCs/>
                <w:i/>
                <w:iCs/>
              </w:rPr>
            </w:pPr>
            <w:r w:rsidRPr="001B395D">
              <w:rPr>
                <w:rFonts w:ascii="Tahoma" w:hAnsi="Tahoma" w:cs="Tahoma"/>
                <w:b/>
                <w:bCs/>
                <w:i/>
                <w:iCs/>
                <w:color w:val="1F3864" w:themeColor="accent1" w:themeShade="80"/>
              </w:rPr>
              <w:t>Матичне школе</w:t>
            </w:r>
          </w:p>
        </w:tc>
      </w:tr>
      <w:tr w:rsidR="0030364B" w:rsidRPr="001B395D" w:rsidTr="00A52928">
        <w:tc>
          <w:tcPr>
            <w:cnfStyle w:val="001000000000" w:firstRow="0" w:lastRow="0" w:firstColumn="1" w:lastColumn="0" w:oddVBand="0" w:evenVBand="0" w:oddHBand="0" w:evenHBand="0" w:firstRowFirstColumn="0" w:firstRowLastColumn="0" w:lastRowFirstColumn="0" w:lastRowLastColumn="0"/>
            <w:tcW w:w="4068" w:type="dxa"/>
            <w:shd w:val="clear" w:color="auto" w:fill="D9E2F3" w:themeFill="accent1" w:themeFillTint="33"/>
          </w:tcPr>
          <w:p w:rsidR="0030364B" w:rsidRPr="001B395D" w:rsidRDefault="0030364B" w:rsidP="00A52928">
            <w:pPr>
              <w:rPr>
                <w:rFonts w:ascii="Tahoma" w:hAnsi="Tahoma" w:cs="Tahoma"/>
              </w:rPr>
            </w:pPr>
            <w:r w:rsidRPr="001B395D">
              <w:rPr>
                <w:rFonts w:ascii="Tahoma" w:hAnsi="Tahoma" w:cs="Tahoma"/>
                <w:color w:val="1F3864" w:themeColor="accent1" w:themeShade="80"/>
              </w:rPr>
              <w:t>Нижи разреди I-IV</w:t>
            </w:r>
          </w:p>
        </w:tc>
        <w:tc>
          <w:tcPr>
            <w:tcW w:w="1800" w:type="dxa"/>
            <w:shd w:val="clear" w:color="auto" w:fill="D9E2F3" w:themeFill="accent1" w:themeFillTint="33"/>
            <w:vAlign w:val="center"/>
          </w:tcPr>
          <w:p w:rsidR="0030364B" w:rsidRPr="001B395D" w:rsidRDefault="0030364B" w:rsidP="00A52928">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1B395D">
              <w:rPr>
                <w:rFonts w:ascii="Tahoma" w:hAnsi="Tahoma" w:cs="Tahoma"/>
              </w:rPr>
              <w:t>124</w:t>
            </w:r>
          </w:p>
        </w:tc>
        <w:tc>
          <w:tcPr>
            <w:tcW w:w="1710" w:type="dxa"/>
            <w:shd w:val="clear" w:color="auto" w:fill="D9E2F3" w:themeFill="accent1" w:themeFillTint="33"/>
          </w:tcPr>
          <w:p w:rsidR="0030364B" w:rsidRPr="001B395D" w:rsidRDefault="0030364B" w:rsidP="00A52928">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1B395D">
              <w:rPr>
                <w:rFonts w:ascii="Tahoma" w:hAnsi="Tahoma" w:cs="Tahoma"/>
              </w:rPr>
              <w:t>158.46</w:t>
            </w:r>
          </w:p>
        </w:tc>
        <w:tc>
          <w:tcPr>
            <w:tcW w:w="1348" w:type="dxa"/>
            <w:shd w:val="clear" w:color="auto" w:fill="D9E2F3" w:themeFill="accent1" w:themeFillTint="33"/>
          </w:tcPr>
          <w:p w:rsidR="0030364B" w:rsidRPr="001B395D" w:rsidRDefault="0030364B" w:rsidP="00A52928">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1B395D">
              <w:rPr>
                <w:rFonts w:ascii="Tahoma" w:hAnsi="Tahoma" w:cs="Tahoma"/>
              </w:rPr>
              <w:t>153.79</w:t>
            </w:r>
          </w:p>
        </w:tc>
      </w:tr>
      <w:tr w:rsidR="0030364B" w:rsidRPr="001B395D" w:rsidTr="00A52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shd w:val="clear" w:color="auto" w:fill="B4C6E7" w:themeFill="accent1" w:themeFillTint="66"/>
          </w:tcPr>
          <w:p w:rsidR="0030364B" w:rsidRPr="001B395D" w:rsidRDefault="0030364B" w:rsidP="00A52928">
            <w:pPr>
              <w:rPr>
                <w:rFonts w:ascii="Tahoma" w:hAnsi="Tahoma" w:cs="Tahoma"/>
              </w:rPr>
            </w:pPr>
            <w:r w:rsidRPr="001B395D">
              <w:rPr>
                <w:rFonts w:ascii="Tahoma" w:hAnsi="Tahoma" w:cs="Tahoma"/>
                <w:color w:val="1F3864" w:themeColor="accent1" w:themeShade="80"/>
              </w:rPr>
              <w:t>Виши разреди</w:t>
            </w:r>
          </w:p>
        </w:tc>
        <w:tc>
          <w:tcPr>
            <w:tcW w:w="1800" w:type="dxa"/>
            <w:shd w:val="clear" w:color="auto" w:fill="B4C6E7" w:themeFill="accent1" w:themeFillTint="66"/>
            <w:vAlign w:val="center"/>
          </w:tcPr>
          <w:p w:rsidR="0030364B" w:rsidRPr="001B395D" w:rsidRDefault="0030364B" w:rsidP="00A52928">
            <w:pPr>
              <w:jc w:val="right"/>
              <w:cnfStyle w:val="000000100000" w:firstRow="0" w:lastRow="0" w:firstColumn="0" w:lastColumn="0" w:oddVBand="0" w:evenVBand="0" w:oddHBand="1" w:evenHBand="0" w:firstRowFirstColumn="0" w:firstRowLastColumn="0" w:lastRowFirstColumn="0" w:lastRowLastColumn="0"/>
              <w:rPr>
                <w:rFonts w:ascii="Tahoma" w:hAnsi="Tahoma" w:cs="Tahoma"/>
              </w:rPr>
            </w:pPr>
            <w:r w:rsidRPr="001B395D">
              <w:rPr>
                <w:rFonts w:ascii="Tahoma" w:hAnsi="Tahoma" w:cs="Tahoma"/>
              </w:rPr>
              <w:t>152.73</w:t>
            </w:r>
          </w:p>
        </w:tc>
        <w:tc>
          <w:tcPr>
            <w:tcW w:w="1710" w:type="dxa"/>
            <w:shd w:val="clear" w:color="auto" w:fill="B4C6E7" w:themeFill="accent1" w:themeFillTint="66"/>
          </w:tcPr>
          <w:p w:rsidR="0030364B" w:rsidRPr="001B395D" w:rsidRDefault="0030364B" w:rsidP="00A52928">
            <w:pPr>
              <w:jc w:val="right"/>
              <w:cnfStyle w:val="000000100000" w:firstRow="0" w:lastRow="0" w:firstColumn="0" w:lastColumn="0" w:oddVBand="0" w:evenVBand="0" w:oddHBand="1" w:evenHBand="0" w:firstRowFirstColumn="0" w:firstRowLastColumn="0" w:lastRowFirstColumn="0" w:lastRowLastColumn="0"/>
              <w:rPr>
                <w:rFonts w:ascii="Tahoma" w:hAnsi="Tahoma" w:cs="Tahoma"/>
              </w:rPr>
            </w:pPr>
            <w:r w:rsidRPr="001B395D">
              <w:rPr>
                <w:rFonts w:ascii="Tahoma" w:hAnsi="Tahoma" w:cs="Tahoma"/>
              </w:rPr>
              <w:t>180.95</w:t>
            </w:r>
          </w:p>
        </w:tc>
        <w:tc>
          <w:tcPr>
            <w:tcW w:w="1348" w:type="dxa"/>
            <w:shd w:val="clear" w:color="auto" w:fill="B4C6E7" w:themeFill="accent1" w:themeFillTint="66"/>
          </w:tcPr>
          <w:p w:rsidR="0030364B" w:rsidRPr="001B395D" w:rsidRDefault="0030364B" w:rsidP="00A52928">
            <w:pPr>
              <w:jc w:val="right"/>
              <w:cnfStyle w:val="000000100000" w:firstRow="0" w:lastRow="0" w:firstColumn="0" w:lastColumn="0" w:oddVBand="0" w:evenVBand="0" w:oddHBand="1" w:evenHBand="0" w:firstRowFirstColumn="0" w:firstRowLastColumn="0" w:lastRowFirstColumn="0" w:lastRowLastColumn="0"/>
              <w:rPr>
                <w:rFonts w:ascii="Tahoma" w:hAnsi="Tahoma" w:cs="Tahoma"/>
              </w:rPr>
            </w:pPr>
            <w:r w:rsidRPr="001B395D">
              <w:rPr>
                <w:rFonts w:ascii="Tahoma" w:hAnsi="Tahoma" w:cs="Tahoma"/>
              </w:rPr>
              <w:t>185.04</w:t>
            </w:r>
          </w:p>
        </w:tc>
      </w:tr>
      <w:tr w:rsidR="0030364B" w:rsidRPr="001B395D" w:rsidTr="00A52928">
        <w:tc>
          <w:tcPr>
            <w:cnfStyle w:val="001000000000" w:firstRow="0" w:lastRow="0" w:firstColumn="1" w:lastColumn="0" w:oddVBand="0" w:evenVBand="0" w:oddHBand="0" w:evenHBand="0" w:firstRowFirstColumn="0" w:firstRowLastColumn="0" w:lastRowFirstColumn="0" w:lastRowLastColumn="0"/>
            <w:tcW w:w="4068" w:type="dxa"/>
            <w:shd w:val="clear" w:color="auto" w:fill="8EAADB" w:themeFill="accent1" w:themeFillTint="99"/>
          </w:tcPr>
          <w:p w:rsidR="0030364B" w:rsidRPr="001B395D" w:rsidRDefault="0030364B" w:rsidP="00A52928">
            <w:pPr>
              <w:rPr>
                <w:rFonts w:ascii="Tahoma" w:hAnsi="Tahoma" w:cs="Tahoma"/>
                <w:color w:val="1F3864" w:themeColor="accent1" w:themeShade="80"/>
              </w:rPr>
            </w:pPr>
          </w:p>
        </w:tc>
        <w:tc>
          <w:tcPr>
            <w:tcW w:w="4858" w:type="dxa"/>
            <w:gridSpan w:val="3"/>
            <w:shd w:val="clear" w:color="auto" w:fill="8EAADB" w:themeFill="accent1" w:themeFillTint="99"/>
            <w:vAlign w:val="center"/>
          </w:tcPr>
          <w:p w:rsidR="0030364B" w:rsidRPr="001B395D" w:rsidRDefault="0030364B" w:rsidP="00A52928">
            <w:pPr>
              <w:jc w:val="center"/>
              <w:cnfStyle w:val="000000000000" w:firstRow="0" w:lastRow="0" w:firstColumn="0" w:lastColumn="0" w:oddVBand="0" w:evenVBand="0" w:oddHBand="0" w:evenHBand="0" w:firstRowFirstColumn="0" w:firstRowLastColumn="0" w:lastRowFirstColumn="0" w:lastRowLastColumn="0"/>
              <w:rPr>
                <w:rFonts w:ascii="Tahoma" w:hAnsi="Tahoma" w:cs="Tahoma"/>
              </w:rPr>
            </w:pPr>
            <w:r w:rsidRPr="001B395D">
              <w:rPr>
                <w:rFonts w:ascii="Tahoma" w:hAnsi="Tahoma" w:cs="Tahoma"/>
                <w:b/>
                <w:bCs/>
                <w:i/>
                <w:iCs/>
                <w:color w:val="1F3864" w:themeColor="accent1" w:themeShade="80"/>
              </w:rPr>
              <w:t>Подручне школе</w:t>
            </w:r>
          </w:p>
        </w:tc>
      </w:tr>
      <w:tr w:rsidR="0030364B" w:rsidRPr="001B395D" w:rsidTr="00A52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shd w:val="clear" w:color="auto" w:fill="D9E2F3" w:themeFill="accent1" w:themeFillTint="33"/>
          </w:tcPr>
          <w:p w:rsidR="0030364B" w:rsidRPr="001B395D" w:rsidRDefault="0030364B" w:rsidP="00A52928">
            <w:pPr>
              <w:rPr>
                <w:rFonts w:ascii="Tahoma" w:hAnsi="Tahoma" w:cs="Tahoma"/>
                <w:color w:val="1F3864" w:themeColor="accent1" w:themeShade="80"/>
              </w:rPr>
            </w:pPr>
            <w:r w:rsidRPr="001B395D">
              <w:rPr>
                <w:rFonts w:ascii="Tahoma" w:hAnsi="Tahoma" w:cs="Tahoma"/>
                <w:color w:val="1F3864" w:themeColor="accent1" w:themeShade="80"/>
              </w:rPr>
              <w:t>Нижи разреди I-IV</w:t>
            </w:r>
          </w:p>
        </w:tc>
        <w:tc>
          <w:tcPr>
            <w:tcW w:w="1800" w:type="dxa"/>
            <w:shd w:val="clear" w:color="auto" w:fill="D9E2F3" w:themeFill="accent1" w:themeFillTint="33"/>
            <w:vAlign w:val="center"/>
          </w:tcPr>
          <w:p w:rsidR="0030364B" w:rsidRPr="001B395D" w:rsidRDefault="0030364B" w:rsidP="00A52928">
            <w:pPr>
              <w:jc w:val="right"/>
              <w:cnfStyle w:val="000000100000" w:firstRow="0" w:lastRow="0" w:firstColumn="0" w:lastColumn="0" w:oddVBand="0" w:evenVBand="0" w:oddHBand="1" w:evenHBand="0" w:firstRowFirstColumn="0" w:firstRowLastColumn="0" w:lastRowFirstColumn="0" w:lastRowLastColumn="0"/>
              <w:rPr>
                <w:rFonts w:ascii="Tahoma" w:hAnsi="Tahoma" w:cs="Tahoma"/>
              </w:rPr>
            </w:pPr>
            <w:r w:rsidRPr="001B395D">
              <w:rPr>
                <w:rFonts w:ascii="Tahoma" w:hAnsi="Tahoma" w:cs="Tahoma"/>
              </w:rPr>
              <w:t>16.64</w:t>
            </w:r>
          </w:p>
        </w:tc>
        <w:tc>
          <w:tcPr>
            <w:tcW w:w="1710" w:type="dxa"/>
            <w:shd w:val="clear" w:color="auto" w:fill="D9E2F3" w:themeFill="accent1" w:themeFillTint="33"/>
          </w:tcPr>
          <w:p w:rsidR="0030364B" w:rsidRPr="001B395D" w:rsidRDefault="0030364B" w:rsidP="00A52928">
            <w:pPr>
              <w:jc w:val="right"/>
              <w:cnfStyle w:val="000000100000" w:firstRow="0" w:lastRow="0" w:firstColumn="0" w:lastColumn="0" w:oddVBand="0" w:evenVBand="0" w:oddHBand="1" w:evenHBand="0" w:firstRowFirstColumn="0" w:firstRowLastColumn="0" w:lastRowFirstColumn="0" w:lastRowLastColumn="0"/>
              <w:rPr>
                <w:rFonts w:ascii="Tahoma" w:hAnsi="Tahoma" w:cs="Tahoma"/>
              </w:rPr>
            </w:pPr>
            <w:r w:rsidRPr="001B395D">
              <w:rPr>
                <w:rFonts w:ascii="Tahoma" w:hAnsi="Tahoma" w:cs="Tahoma"/>
              </w:rPr>
              <w:t>24.17</w:t>
            </w:r>
          </w:p>
        </w:tc>
        <w:tc>
          <w:tcPr>
            <w:tcW w:w="1348" w:type="dxa"/>
            <w:shd w:val="clear" w:color="auto" w:fill="D9E2F3" w:themeFill="accent1" w:themeFillTint="33"/>
          </w:tcPr>
          <w:p w:rsidR="0030364B" w:rsidRPr="001B395D" w:rsidRDefault="0030364B" w:rsidP="00A52928">
            <w:pPr>
              <w:jc w:val="right"/>
              <w:cnfStyle w:val="000000100000" w:firstRow="0" w:lastRow="0" w:firstColumn="0" w:lastColumn="0" w:oddVBand="0" w:evenVBand="0" w:oddHBand="1" w:evenHBand="0" w:firstRowFirstColumn="0" w:firstRowLastColumn="0" w:lastRowFirstColumn="0" w:lastRowLastColumn="0"/>
              <w:rPr>
                <w:rFonts w:ascii="Tahoma" w:hAnsi="Tahoma" w:cs="Tahoma"/>
              </w:rPr>
            </w:pPr>
            <w:r w:rsidRPr="001B395D">
              <w:rPr>
                <w:rFonts w:ascii="Tahoma" w:hAnsi="Tahoma" w:cs="Tahoma"/>
              </w:rPr>
              <w:t>14.06</w:t>
            </w:r>
          </w:p>
        </w:tc>
      </w:tr>
      <w:tr w:rsidR="0030364B" w:rsidRPr="001B395D" w:rsidTr="00A52928">
        <w:tc>
          <w:tcPr>
            <w:cnfStyle w:val="001000000000" w:firstRow="0" w:lastRow="0" w:firstColumn="1" w:lastColumn="0" w:oddVBand="0" w:evenVBand="0" w:oddHBand="0" w:evenHBand="0" w:firstRowFirstColumn="0" w:firstRowLastColumn="0" w:lastRowFirstColumn="0" w:lastRowLastColumn="0"/>
            <w:tcW w:w="4068" w:type="dxa"/>
            <w:shd w:val="clear" w:color="auto" w:fill="B4C6E7" w:themeFill="accent1" w:themeFillTint="66"/>
          </w:tcPr>
          <w:p w:rsidR="0030364B" w:rsidRPr="001B395D" w:rsidRDefault="0030364B" w:rsidP="00A52928">
            <w:pPr>
              <w:rPr>
                <w:rFonts w:ascii="Tahoma" w:hAnsi="Tahoma" w:cs="Tahoma"/>
                <w:color w:val="1F3864" w:themeColor="accent1" w:themeShade="80"/>
              </w:rPr>
            </w:pPr>
            <w:r w:rsidRPr="001B395D">
              <w:rPr>
                <w:rFonts w:ascii="Tahoma" w:hAnsi="Tahoma" w:cs="Tahoma"/>
                <w:color w:val="1F3864" w:themeColor="accent1" w:themeShade="80"/>
              </w:rPr>
              <w:t>Виши разреди V-VIII</w:t>
            </w:r>
          </w:p>
        </w:tc>
        <w:tc>
          <w:tcPr>
            <w:tcW w:w="1800" w:type="dxa"/>
            <w:shd w:val="clear" w:color="auto" w:fill="B4C6E7" w:themeFill="accent1" w:themeFillTint="66"/>
            <w:vAlign w:val="center"/>
          </w:tcPr>
          <w:p w:rsidR="0030364B" w:rsidRPr="001B395D" w:rsidRDefault="0030364B" w:rsidP="00A52928">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1B395D">
              <w:rPr>
                <w:rFonts w:ascii="Tahoma" w:hAnsi="Tahoma" w:cs="Tahoma"/>
              </w:rPr>
              <w:t>2.09</w:t>
            </w:r>
          </w:p>
        </w:tc>
        <w:tc>
          <w:tcPr>
            <w:tcW w:w="1710" w:type="dxa"/>
            <w:shd w:val="clear" w:color="auto" w:fill="B4C6E7" w:themeFill="accent1" w:themeFillTint="66"/>
          </w:tcPr>
          <w:p w:rsidR="0030364B" w:rsidRPr="001B395D" w:rsidRDefault="0030364B" w:rsidP="00A52928">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1B395D">
              <w:rPr>
                <w:rFonts w:ascii="Tahoma" w:hAnsi="Tahoma" w:cs="Tahoma"/>
              </w:rPr>
              <w:t>9.47</w:t>
            </w:r>
          </w:p>
        </w:tc>
        <w:tc>
          <w:tcPr>
            <w:tcW w:w="1348" w:type="dxa"/>
            <w:shd w:val="clear" w:color="auto" w:fill="B4C6E7" w:themeFill="accent1" w:themeFillTint="66"/>
          </w:tcPr>
          <w:p w:rsidR="0030364B" w:rsidRPr="001B395D" w:rsidRDefault="0030364B" w:rsidP="00A52928">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1B395D">
              <w:rPr>
                <w:rFonts w:ascii="Tahoma" w:hAnsi="Tahoma" w:cs="Tahoma"/>
              </w:rPr>
              <w:t>6.39</w:t>
            </w:r>
          </w:p>
        </w:tc>
      </w:tr>
    </w:tbl>
    <w:p w:rsidR="00157643" w:rsidRPr="001B395D" w:rsidRDefault="00157643" w:rsidP="00157643">
      <w:pPr>
        <w:spacing w:before="40"/>
        <w:jc w:val="both"/>
        <w:textAlignment w:val="center"/>
        <w:rPr>
          <w:b/>
          <w:color w:val="4472C4" w:themeColor="accent1"/>
        </w:rPr>
      </w:pPr>
      <w:r w:rsidRPr="001B395D">
        <w:rPr>
          <w:rFonts w:ascii="Tahoma" w:hAnsi="Tahoma" w:cs="Tahoma"/>
          <w:sz w:val="18"/>
          <w:szCs w:val="18"/>
        </w:rPr>
        <w:t>Извор: ДевИнфо база – профили општина, Републичког завода за статистику</w:t>
      </w:r>
      <w:r w:rsidRPr="001B395D">
        <w:rPr>
          <w:rFonts w:ascii="Tahoma" w:eastAsia="Open Sans" w:hAnsi="Tahoma" w:cs="Tahoma"/>
          <w:sz w:val="18"/>
          <w:szCs w:val="18"/>
        </w:rPr>
        <w:t>.</w:t>
      </w:r>
    </w:p>
    <w:p w:rsidR="00996947" w:rsidRPr="001B395D" w:rsidRDefault="00996947" w:rsidP="00633D73">
      <w:pPr>
        <w:spacing w:after="160" w:line="259" w:lineRule="auto"/>
        <w:jc w:val="both"/>
        <w:rPr>
          <w:rFonts w:ascii="Tahoma" w:hAnsi="Tahoma" w:cs="Tahoma"/>
          <w:sz w:val="10"/>
          <w:szCs w:val="10"/>
          <w:highlight w:val="yellow"/>
        </w:rPr>
      </w:pPr>
    </w:p>
    <w:p w:rsidR="00DA753F" w:rsidRPr="001B395D" w:rsidRDefault="00DA753F" w:rsidP="00DA753F">
      <w:pPr>
        <w:spacing w:after="160" w:line="259" w:lineRule="auto"/>
        <w:jc w:val="both"/>
        <w:rPr>
          <w:rFonts w:ascii="Tahoma" w:hAnsi="Tahoma" w:cs="Tahoma"/>
          <w:sz w:val="22"/>
          <w:szCs w:val="22"/>
        </w:rPr>
      </w:pPr>
      <w:r w:rsidRPr="001B395D">
        <w:rPr>
          <w:rFonts w:ascii="Tahoma" w:hAnsi="Tahoma" w:cs="Tahoma"/>
          <w:b/>
          <w:color w:val="2F5496" w:themeColor="accent1" w:themeShade="BF"/>
          <w:sz w:val="22"/>
          <w:szCs w:val="22"/>
        </w:rPr>
        <w:t>Нето стопа обухвата основним образовањем је задовољавајућа упркос паду</w:t>
      </w:r>
      <w:r w:rsidRPr="001B395D">
        <w:rPr>
          <w:rFonts w:ascii="Tahoma" w:hAnsi="Tahoma" w:cs="Tahoma"/>
          <w:sz w:val="22"/>
          <w:szCs w:val="22"/>
        </w:rPr>
        <w:t>, који се примећује у скоро свим општинама у Србији и на нивоу Републике и вероватно је методолошке природе</w:t>
      </w:r>
      <w:r w:rsidRPr="001B395D">
        <w:rPr>
          <w:rStyle w:val="FootnoteReference"/>
          <w:rFonts w:ascii="Tahoma" w:hAnsi="Tahoma" w:cs="Tahoma"/>
          <w:sz w:val="22"/>
          <w:szCs w:val="22"/>
        </w:rPr>
        <w:footnoteReference w:id="16"/>
      </w:r>
      <w:r w:rsidRPr="001B395D">
        <w:rPr>
          <w:rFonts w:ascii="Tahoma" w:hAnsi="Tahoma" w:cs="Tahoma"/>
          <w:sz w:val="22"/>
          <w:szCs w:val="22"/>
        </w:rPr>
        <w:t xml:space="preserve">. У посматраном десетогодишњем периоду стопа обухвата је све време на вишем нивоу од просечне стопе обухвата на подручју Србија-Југ а углавном је виша и у односу на Подунавску област. </w:t>
      </w:r>
    </w:p>
    <w:p w:rsidR="001A2E02" w:rsidRPr="001B395D" w:rsidRDefault="001A2E02" w:rsidP="00633D73">
      <w:pPr>
        <w:spacing w:line="259" w:lineRule="auto"/>
        <w:rPr>
          <w:rFonts w:ascii="Tahoma" w:hAnsi="Tahoma" w:cs="Tahoma"/>
          <w:b/>
          <w:sz w:val="10"/>
          <w:szCs w:val="10"/>
        </w:rPr>
      </w:pPr>
    </w:p>
    <w:p w:rsidR="004660A9" w:rsidRPr="001B395D" w:rsidRDefault="00373915" w:rsidP="00FE668B">
      <w:pPr>
        <w:spacing w:after="80" w:line="259" w:lineRule="auto"/>
        <w:rPr>
          <w:rFonts w:ascii="Tahoma" w:hAnsi="Tahoma" w:cs="Tahoma"/>
          <w:bCs/>
          <w:color w:val="2F5496"/>
          <w:sz w:val="22"/>
          <w:szCs w:val="22"/>
        </w:rPr>
      </w:pPr>
      <w:r w:rsidRPr="001B395D">
        <w:rPr>
          <w:rFonts w:ascii="Tahoma" w:hAnsi="Tahoma" w:cs="Tahoma"/>
          <w:bCs/>
          <w:color w:val="2F5496"/>
          <w:sz w:val="22"/>
          <w:szCs w:val="22"/>
        </w:rPr>
        <w:t>Графикон</w:t>
      </w:r>
      <w:r w:rsidR="005715A0" w:rsidRPr="001B395D">
        <w:rPr>
          <w:rFonts w:ascii="Tahoma" w:hAnsi="Tahoma" w:cs="Tahoma"/>
          <w:bCs/>
          <w:color w:val="2F5496"/>
          <w:sz w:val="22"/>
          <w:szCs w:val="22"/>
        </w:rPr>
        <w:t>5</w:t>
      </w:r>
      <w:r w:rsidRPr="001B395D">
        <w:rPr>
          <w:rFonts w:ascii="Tahoma" w:hAnsi="Tahoma" w:cs="Tahoma"/>
          <w:bCs/>
          <w:color w:val="2F5496"/>
          <w:sz w:val="22"/>
          <w:szCs w:val="22"/>
        </w:rPr>
        <w:t>. Нето стопа обухвата основним образовањем</w:t>
      </w:r>
      <w:r w:rsidR="00D045DD" w:rsidRPr="001B395D">
        <w:rPr>
          <w:rFonts w:ascii="Tahoma" w:hAnsi="Tahoma" w:cs="Tahoma"/>
          <w:bCs/>
          <w:color w:val="2F5496"/>
          <w:sz w:val="22"/>
          <w:szCs w:val="22"/>
        </w:rPr>
        <w:t xml:space="preserve"> (у %)</w:t>
      </w:r>
      <w:r w:rsidR="007F1CC8" w:rsidRPr="001B395D">
        <w:rPr>
          <w:rFonts w:ascii="Tahoma" w:hAnsi="Tahoma" w:cs="Tahoma"/>
          <w:bCs/>
          <w:color w:val="2F5496"/>
          <w:sz w:val="22"/>
          <w:szCs w:val="22"/>
        </w:rPr>
        <w:t xml:space="preserve">, </w:t>
      </w:r>
      <w:r w:rsidR="00CF3331" w:rsidRPr="001B395D">
        <w:rPr>
          <w:rFonts w:ascii="Tahoma" w:hAnsi="Tahoma" w:cs="Tahoma"/>
          <w:bCs/>
          <w:color w:val="2F5496"/>
          <w:sz w:val="22"/>
          <w:szCs w:val="22"/>
        </w:rPr>
        <w:t xml:space="preserve">за период </w:t>
      </w:r>
      <w:r w:rsidR="007F1CC8" w:rsidRPr="001B395D">
        <w:rPr>
          <w:rFonts w:ascii="Tahoma" w:hAnsi="Tahoma" w:cs="Tahoma"/>
          <w:bCs/>
          <w:color w:val="2F5496"/>
          <w:sz w:val="22"/>
          <w:szCs w:val="22"/>
        </w:rPr>
        <w:t>2010-20</w:t>
      </w:r>
      <w:r w:rsidR="00DA79EA" w:rsidRPr="001B395D">
        <w:rPr>
          <w:rFonts w:ascii="Tahoma" w:hAnsi="Tahoma" w:cs="Tahoma"/>
          <w:bCs/>
          <w:color w:val="2F5496"/>
          <w:sz w:val="22"/>
          <w:szCs w:val="22"/>
        </w:rPr>
        <w:t>20</w:t>
      </w:r>
      <w:r w:rsidR="00CF3331" w:rsidRPr="001B395D">
        <w:rPr>
          <w:rFonts w:ascii="Tahoma" w:hAnsi="Tahoma" w:cs="Tahoma"/>
          <w:bCs/>
          <w:color w:val="2F5496"/>
          <w:sz w:val="22"/>
          <w:szCs w:val="22"/>
        </w:rPr>
        <w:t>.</w:t>
      </w:r>
    </w:p>
    <w:p w:rsidR="00257740" w:rsidRPr="001B395D" w:rsidRDefault="00257740" w:rsidP="00FE668B">
      <w:pPr>
        <w:spacing w:after="80" w:line="259" w:lineRule="auto"/>
        <w:rPr>
          <w:rFonts w:ascii="Tahoma" w:hAnsi="Tahoma" w:cs="Tahoma"/>
          <w:bCs/>
          <w:color w:val="2F5496"/>
          <w:sz w:val="22"/>
          <w:szCs w:val="22"/>
        </w:rPr>
      </w:pPr>
    </w:p>
    <w:p w:rsidR="004660A9" w:rsidRPr="001B395D" w:rsidRDefault="001E74E6" w:rsidP="00404662">
      <w:pPr>
        <w:jc w:val="center"/>
        <w:rPr>
          <w:b/>
        </w:rPr>
      </w:pPr>
      <w:r w:rsidRPr="001B395D">
        <w:rPr>
          <w:b/>
          <w:noProof/>
        </w:rPr>
        <w:lastRenderedPageBreak/>
        <w:drawing>
          <wp:inline distT="0" distB="0" distL="0" distR="0">
            <wp:extent cx="4572000" cy="2536292"/>
            <wp:effectExtent l="0" t="0" r="0" b="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57740" w:rsidRPr="001B395D" w:rsidRDefault="00257740" w:rsidP="00FE668B">
      <w:pPr>
        <w:spacing w:before="80"/>
        <w:rPr>
          <w:rFonts w:ascii="Tahoma" w:hAnsi="Tahoma" w:cs="Tahoma"/>
          <w:sz w:val="18"/>
          <w:szCs w:val="18"/>
        </w:rPr>
      </w:pPr>
    </w:p>
    <w:p w:rsidR="002C0609" w:rsidRPr="001B395D" w:rsidRDefault="00CF3331" w:rsidP="00FE668B">
      <w:pPr>
        <w:spacing w:before="80"/>
        <w:rPr>
          <w:rFonts w:ascii="Tahoma" w:eastAsia="Open Sans" w:hAnsi="Tahoma" w:cs="Tahoma"/>
          <w:sz w:val="18"/>
          <w:szCs w:val="18"/>
        </w:rPr>
      </w:pPr>
      <w:r w:rsidRPr="001B395D">
        <w:rPr>
          <w:rFonts w:ascii="Tahoma" w:hAnsi="Tahoma" w:cs="Tahoma"/>
          <w:sz w:val="18"/>
          <w:szCs w:val="18"/>
        </w:rPr>
        <w:t>Извор: Републички завод за статистику, ДевИнфо база</w:t>
      </w:r>
      <w:r w:rsidR="00404662" w:rsidRPr="001B395D">
        <w:rPr>
          <w:rFonts w:ascii="Tahoma" w:eastAsia="Open Sans" w:hAnsi="Tahoma" w:cs="Tahoma"/>
          <w:sz w:val="18"/>
          <w:szCs w:val="18"/>
        </w:rPr>
        <w:t>.</w:t>
      </w:r>
    </w:p>
    <w:p w:rsidR="00CF3331" w:rsidRPr="001B395D" w:rsidRDefault="00CF3331" w:rsidP="00FE668B">
      <w:pPr>
        <w:spacing w:after="160" w:line="259" w:lineRule="auto"/>
        <w:jc w:val="both"/>
        <w:rPr>
          <w:rFonts w:ascii="Tahoma" w:hAnsi="Tahoma" w:cs="Tahoma"/>
          <w:sz w:val="22"/>
          <w:szCs w:val="22"/>
        </w:rPr>
      </w:pPr>
    </w:p>
    <w:p w:rsidR="00373915" w:rsidRPr="001B395D" w:rsidRDefault="00373915" w:rsidP="005748ED">
      <w:pPr>
        <w:shd w:val="clear" w:color="auto" w:fill="D9E2F3" w:themeFill="accent1" w:themeFillTint="33"/>
        <w:spacing w:after="160" w:line="259" w:lineRule="auto"/>
        <w:jc w:val="both"/>
        <w:rPr>
          <w:rFonts w:ascii="Tahoma" w:hAnsi="Tahoma" w:cs="Tahoma"/>
          <w:b/>
          <w:color w:val="1F3864" w:themeColor="accent1" w:themeShade="80"/>
          <w:sz w:val="22"/>
          <w:szCs w:val="22"/>
        </w:rPr>
      </w:pPr>
      <w:r w:rsidRPr="001B395D">
        <w:rPr>
          <w:rFonts w:ascii="Tahoma" w:hAnsi="Tahoma" w:cs="Tahoma"/>
          <w:b/>
          <w:color w:val="1F3864" w:themeColor="accent1" w:themeShade="80"/>
          <w:sz w:val="22"/>
          <w:szCs w:val="22"/>
        </w:rPr>
        <w:t>Oквир 5: Индикатори основног/средњег образовања</w:t>
      </w:r>
    </w:p>
    <w:p w:rsidR="00373915" w:rsidRPr="001B395D" w:rsidRDefault="00373915" w:rsidP="005748ED">
      <w:pPr>
        <w:shd w:val="clear" w:color="auto" w:fill="D9E2F3" w:themeFill="accent1" w:themeFillTint="33"/>
        <w:spacing w:after="160" w:line="259" w:lineRule="auto"/>
        <w:jc w:val="both"/>
        <w:rPr>
          <w:rFonts w:ascii="Tahoma" w:hAnsi="Tahoma" w:cs="Tahoma"/>
          <w:sz w:val="22"/>
          <w:szCs w:val="22"/>
        </w:rPr>
      </w:pPr>
      <w:r w:rsidRPr="001B395D">
        <w:rPr>
          <w:rFonts w:ascii="Tahoma" w:hAnsi="Tahoma" w:cs="Tahoma"/>
          <w:sz w:val="22"/>
          <w:szCs w:val="22"/>
        </w:rPr>
        <w:t xml:space="preserve">Индикатори за праћење образовања нису сасвим једноставни за разумевање и неки од њих могу бити збуњујући. На пример, стопа завршавања основне школе која је мана од 100% не значи да је дошло до одустајања од школовања већ да нису сва деца која су према узрасту требало да заврше школу то и и учинила. Дакле стопа завршавања школе и стопа одустајања од школовања се не сабирају до 100%. Доле су наведене тачне дефиниције индикатора које користимо у анализи. </w:t>
      </w:r>
    </w:p>
    <w:p w:rsidR="00373915" w:rsidRPr="001B395D" w:rsidRDefault="00373915" w:rsidP="005748ED">
      <w:pPr>
        <w:shd w:val="clear" w:color="auto" w:fill="D9E2F3" w:themeFill="accent1" w:themeFillTint="33"/>
        <w:spacing w:after="160" w:line="259" w:lineRule="auto"/>
        <w:jc w:val="both"/>
        <w:rPr>
          <w:rFonts w:ascii="Tahoma" w:hAnsi="Tahoma" w:cs="Tahoma"/>
          <w:sz w:val="22"/>
          <w:szCs w:val="22"/>
        </w:rPr>
      </w:pPr>
      <w:r w:rsidRPr="001B395D">
        <w:rPr>
          <w:rFonts w:ascii="Tahoma" w:hAnsi="Tahoma" w:cs="Tahoma"/>
          <w:sz w:val="22"/>
          <w:szCs w:val="22"/>
        </w:rPr>
        <w:t>Нето стопа обухвата основним образовањем - однос броја ученика старости 7-14 година уписаних у редовне основне школе и генерације деце предвиђене за похађање основног образовања (процењен број деце 7-14).</w:t>
      </w:r>
    </w:p>
    <w:p w:rsidR="00373915" w:rsidRPr="001B395D" w:rsidRDefault="00373915" w:rsidP="005748ED">
      <w:pPr>
        <w:shd w:val="clear" w:color="auto" w:fill="D9E2F3" w:themeFill="accent1" w:themeFillTint="33"/>
        <w:spacing w:after="160" w:line="259" w:lineRule="auto"/>
        <w:jc w:val="both"/>
        <w:rPr>
          <w:rFonts w:ascii="Tahoma" w:hAnsi="Tahoma" w:cs="Tahoma"/>
          <w:sz w:val="22"/>
          <w:szCs w:val="22"/>
        </w:rPr>
      </w:pPr>
      <w:r w:rsidRPr="001B395D">
        <w:rPr>
          <w:rFonts w:ascii="Tahoma" w:hAnsi="Tahoma" w:cs="Tahoma"/>
          <w:sz w:val="22"/>
          <w:szCs w:val="22"/>
        </w:rPr>
        <w:t>Обухват деце средњим образовањем - однос броја ученика уписаних у средње школе и броја деце одговарајуће старосне групе (15-18) с тим што се овај податак не води за локални ниво.</w:t>
      </w:r>
    </w:p>
    <w:p w:rsidR="00373915" w:rsidRPr="001B395D" w:rsidRDefault="00373915" w:rsidP="005748ED">
      <w:pPr>
        <w:shd w:val="clear" w:color="auto" w:fill="D9E2F3" w:themeFill="accent1" w:themeFillTint="33"/>
        <w:spacing w:after="160" w:line="259" w:lineRule="auto"/>
        <w:jc w:val="both"/>
        <w:rPr>
          <w:rFonts w:ascii="Tahoma" w:hAnsi="Tahoma" w:cs="Tahoma"/>
          <w:sz w:val="22"/>
          <w:szCs w:val="22"/>
        </w:rPr>
      </w:pPr>
      <w:r w:rsidRPr="001B395D">
        <w:rPr>
          <w:rFonts w:ascii="Tahoma" w:hAnsi="Tahoma" w:cs="Tahoma"/>
          <w:sz w:val="22"/>
          <w:szCs w:val="22"/>
        </w:rPr>
        <w:t>Стопа завршавања основне/средње школе - однос укупног броја ученика који успешно заврше (положе) последњи разред основне школе без обзира на годиште и укупног броја деце из популације узраста за званични завршетак основне школе.</w:t>
      </w:r>
    </w:p>
    <w:p w:rsidR="00373915" w:rsidRPr="001B395D" w:rsidRDefault="00373915" w:rsidP="005748ED">
      <w:pPr>
        <w:shd w:val="clear" w:color="auto" w:fill="D9E2F3" w:themeFill="accent1" w:themeFillTint="33"/>
        <w:spacing w:after="160" w:line="259" w:lineRule="auto"/>
        <w:jc w:val="both"/>
        <w:rPr>
          <w:rFonts w:ascii="Tahoma" w:hAnsi="Tahoma" w:cs="Tahoma"/>
          <w:sz w:val="22"/>
          <w:szCs w:val="22"/>
        </w:rPr>
      </w:pPr>
      <w:r w:rsidRPr="001B395D">
        <w:rPr>
          <w:rFonts w:ascii="Tahoma" w:hAnsi="Tahoma" w:cs="Tahoma"/>
          <w:sz w:val="22"/>
          <w:szCs w:val="22"/>
        </w:rPr>
        <w:t>Стопа одустајања од школовања у основном/средњем образовању представља разлику у броју ученика основних/средњих школа на почетку школске године и броја ученика на крају школске године у односу на број ученика на почетку школске године.</w:t>
      </w:r>
    </w:p>
    <w:p w:rsidR="00373915" w:rsidRPr="001B395D" w:rsidRDefault="00373915" w:rsidP="005748ED">
      <w:pPr>
        <w:shd w:val="clear" w:color="auto" w:fill="D9E2F3" w:themeFill="accent1" w:themeFillTint="33"/>
        <w:spacing w:after="160" w:line="259" w:lineRule="auto"/>
        <w:jc w:val="both"/>
        <w:rPr>
          <w:rFonts w:ascii="Tahoma" w:hAnsi="Tahoma" w:cs="Tahoma"/>
          <w:sz w:val="22"/>
          <w:szCs w:val="22"/>
        </w:rPr>
      </w:pPr>
      <w:r w:rsidRPr="001B395D">
        <w:rPr>
          <w:rFonts w:ascii="Tahoma" w:hAnsi="Tahoma" w:cs="Tahoma"/>
          <w:sz w:val="22"/>
          <w:szCs w:val="22"/>
        </w:rPr>
        <w:t>Вредности ових индикатора могу бити нелогични и неадекватни услед методолошких проблема везаних за њихово праћење како на националном, али посебно на локалном нивоу (види Оквир 2.)</w:t>
      </w:r>
    </w:p>
    <w:p w:rsidR="0034299C" w:rsidRPr="001B395D" w:rsidRDefault="0034299C" w:rsidP="005748ED">
      <w:pPr>
        <w:shd w:val="clear" w:color="auto" w:fill="D9E2F3" w:themeFill="accent1" w:themeFillTint="33"/>
        <w:spacing w:line="259" w:lineRule="auto"/>
        <w:jc w:val="both"/>
        <w:rPr>
          <w:rFonts w:ascii="Tahoma" w:hAnsi="Tahoma" w:cs="Tahoma"/>
          <w:b/>
          <w:sz w:val="10"/>
          <w:szCs w:val="10"/>
        </w:rPr>
      </w:pPr>
    </w:p>
    <w:p w:rsidR="0034299C" w:rsidRPr="001B395D" w:rsidRDefault="0034299C" w:rsidP="005748ED">
      <w:pPr>
        <w:spacing w:after="160" w:line="259" w:lineRule="auto"/>
        <w:jc w:val="both"/>
        <w:rPr>
          <w:rFonts w:ascii="Tahoma" w:hAnsi="Tahoma" w:cs="Tahoma"/>
          <w:sz w:val="10"/>
          <w:szCs w:val="10"/>
        </w:rPr>
      </w:pPr>
    </w:p>
    <w:p w:rsidR="005C4290" w:rsidRPr="001B395D" w:rsidRDefault="00373915" w:rsidP="005748ED">
      <w:pPr>
        <w:spacing w:after="160" w:line="259" w:lineRule="auto"/>
        <w:jc w:val="both"/>
        <w:rPr>
          <w:rFonts w:ascii="Tahoma" w:hAnsi="Tahoma" w:cs="Tahoma"/>
          <w:sz w:val="22"/>
          <w:szCs w:val="22"/>
        </w:rPr>
      </w:pPr>
      <w:r w:rsidRPr="001B395D">
        <w:rPr>
          <w:rFonts w:ascii="Tahoma" w:hAnsi="Tahoma" w:cs="Tahoma"/>
          <w:sz w:val="22"/>
          <w:szCs w:val="22"/>
        </w:rPr>
        <w:lastRenderedPageBreak/>
        <w:t xml:space="preserve">Стопа одустајања од школовања у основном образовању је релативно </w:t>
      </w:r>
      <w:r w:rsidR="00DA753F" w:rsidRPr="001B395D">
        <w:rPr>
          <w:rFonts w:ascii="Tahoma" w:hAnsi="Tahoma" w:cs="Tahoma"/>
          <w:sz w:val="22"/>
          <w:szCs w:val="22"/>
        </w:rPr>
        <w:t>висока</w:t>
      </w:r>
      <w:r w:rsidRPr="001B395D">
        <w:rPr>
          <w:rFonts w:ascii="Tahoma" w:hAnsi="Tahoma" w:cs="Tahoma"/>
          <w:sz w:val="22"/>
          <w:szCs w:val="22"/>
        </w:rPr>
        <w:t>. Иако подаци флуктуирају, ипак се може рећи да је у п</w:t>
      </w:r>
      <w:r w:rsidR="002C4545" w:rsidRPr="001B395D">
        <w:rPr>
          <w:rFonts w:ascii="Tahoma" w:hAnsi="Tahoma" w:cs="Tahoma"/>
          <w:sz w:val="22"/>
          <w:szCs w:val="22"/>
        </w:rPr>
        <w:t>росеку стопа одустајања на знач</w:t>
      </w:r>
      <w:r w:rsidRPr="001B395D">
        <w:rPr>
          <w:rFonts w:ascii="Tahoma" w:hAnsi="Tahoma" w:cs="Tahoma"/>
          <w:sz w:val="22"/>
          <w:szCs w:val="22"/>
        </w:rPr>
        <w:t>а</w:t>
      </w:r>
      <w:r w:rsidR="002C4545" w:rsidRPr="001B395D">
        <w:rPr>
          <w:rFonts w:ascii="Tahoma" w:hAnsi="Tahoma" w:cs="Tahoma"/>
          <w:sz w:val="22"/>
          <w:szCs w:val="22"/>
        </w:rPr>
        <w:t>ј</w:t>
      </w:r>
      <w:r w:rsidRPr="001B395D">
        <w:rPr>
          <w:rFonts w:ascii="Tahoma" w:hAnsi="Tahoma" w:cs="Tahoma"/>
          <w:sz w:val="22"/>
          <w:szCs w:val="22"/>
        </w:rPr>
        <w:t xml:space="preserve">но нижем </w:t>
      </w:r>
      <w:r w:rsidR="00DA753F" w:rsidRPr="001B395D">
        <w:rPr>
          <w:rFonts w:ascii="Tahoma" w:hAnsi="Tahoma" w:cs="Tahoma"/>
          <w:sz w:val="22"/>
          <w:szCs w:val="22"/>
        </w:rPr>
        <w:t>нивоу</w:t>
      </w:r>
      <w:r w:rsidRPr="001B395D">
        <w:rPr>
          <w:rFonts w:ascii="Tahoma" w:hAnsi="Tahoma" w:cs="Tahoma"/>
          <w:sz w:val="22"/>
          <w:szCs w:val="22"/>
        </w:rPr>
        <w:t xml:space="preserve"> од просека </w:t>
      </w:r>
      <w:r w:rsidR="00DA753F" w:rsidRPr="001B395D">
        <w:rPr>
          <w:rFonts w:ascii="Tahoma" w:hAnsi="Tahoma" w:cs="Tahoma"/>
          <w:sz w:val="22"/>
          <w:szCs w:val="22"/>
        </w:rPr>
        <w:t xml:space="preserve">подручја </w:t>
      </w:r>
      <w:r w:rsidRPr="001B395D">
        <w:rPr>
          <w:rFonts w:ascii="Tahoma" w:hAnsi="Tahoma" w:cs="Tahoma"/>
          <w:sz w:val="22"/>
          <w:szCs w:val="22"/>
        </w:rPr>
        <w:t>Србиј</w:t>
      </w:r>
      <w:r w:rsidR="00DA753F" w:rsidRPr="001B395D">
        <w:rPr>
          <w:rFonts w:ascii="Tahoma" w:hAnsi="Tahoma" w:cs="Tahoma"/>
          <w:sz w:val="22"/>
          <w:szCs w:val="22"/>
        </w:rPr>
        <w:t>а-Југ</w:t>
      </w:r>
      <w:r w:rsidRPr="001B395D">
        <w:rPr>
          <w:rFonts w:ascii="Tahoma" w:hAnsi="Tahoma" w:cs="Tahoma"/>
          <w:sz w:val="22"/>
          <w:szCs w:val="22"/>
        </w:rPr>
        <w:t xml:space="preserve"> као и од просека у </w:t>
      </w:r>
      <w:r w:rsidR="00DA753F" w:rsidRPr="001B395D">
        <w:rPr>
          <w:rFonts w:ascii="Tahoma" w:hAnsi="Tahoma" w:cs="Tahoma"/>
          <w:sz w:val="22"/>
          <w:szCs w:val="22"/>
        </w:rPr>
        <w:t xml:space="preserve">Подунавској </w:t>
      </w:r>
      <w:r w:rsidRPr="001B395D">
        <w:rPr>
          <w:rFonts w:ascii="Tahoma" w:hAnsi="Tahoma" w:cs="Tahoma"/>
          <w:sz w:val="22"/>
          <w:szCs w:val="22"/>
        </w:rPr>
        <w:t xml:space="preserve">области. </w:t>
      </w:r>
    </w:p>
    <w:p w:rsidR="005C4290" w:rsidRPr="001B395D" w:rsidRDefault="005C4290" w:rsidP="005748ED">
      <w:pPr>
        <w:spacing w:line="259" w:lineRule="auto"/>
        <w:rPr>
          <w:rFonts w:ascii="Tahoma" w:hAnsi="Tahoma" w:cs="Tahoma"/>
          <w:b/>
          <w:sz w:val="10"/>
          <w:szCs w:val="10"/>
        </w:rPr>
      </w:pPr>
    </w:p>
    <w:p w:rsidR="00CC7614" w:rsidRPr="001B395D" w:rsidRDefault="007F0F4C" w:rsidP="00404662">
      <w:pPr>
        <w:spacing w:after="80" w:line="259" w:lineRule="auto"/>
        <w:rPr>
          <w:rFonts w:ascii="Tahoma" w:hAnsi="Tahoma" w:cs="Tahoma"/>
          <w:bCs/>
          <w:color w:val="2F5496"/>
          <w:sz w:val="22"/>
          <w:szCs w:val="22"/>
        </w:rPr>
      </w:pPr>
      <w:r w:rsidRPr="001B395D">
        <w:rPr>
          <w:rFonts w:ascii="Tahoma" w:hAnsi="Tahoma" w:cs="Tahoma"/>
          <w:bCs/>
          <w:color w:val="2F5496"/>
          <w:sz w:val="22"/>
          <w:szCs w:val="22"/>
        </w:rPr>
        <w:t>Графикон</w:t>
      </w:r>
      <w:r w:rsidR="005715A0" w:rsidRPr="001B395D">
        <w:rPr>
          <w:rFonts w:ascii="Tahoma" w:hAnsi="Tahoma" w:cs="Tahoma"/>
          <w:bCs/>
          <w:color w:val="2F5496"/>
          <w:sz w:val="22"/>
          <w:szCs w:val="22"/>
        </w:rPr>
        <w:t>6</w:t>
      </w:r>
      <w:r w:rsidR="0032035D" w:rsidRPr="001B395D">
        <w:rPr>
          <w:rFonts w:ascii="Tahoma" w:hAnsi="Tahoma" w:cs="Tahoma"/>
          <w:bCs/>
          <w:color w:val="2F5496"/>
          <w:sz w:val="22"/>
          <w:szCs w:val="22"/>
        </w:rPr>
        <w:t xml:space="preserve">. </w:t>
      </w:r>
      <w:r w:rsidR="00373915" w:rsidRPr="001B395D">
        <w:rPr>
          <w:rFonts w:ascii="Tahoma" w:hAnsi="Tahoma" w:cs="Tahoma"/>
          <w:bCs/>
          <w:color w:val="2F5496"/>
          <w:sz w:val="22"/>
          <w:szCs w:val="22"/>
        </w:rPr>
        <w:t>Стопа одуст</w:t>
      </w:r>
      <w:r w:rsidR="00DA753F" w:rsidRPr="001B395D">
        <w:rPr>
          <w:rFonts w:ascii="Tahoma" w:hAnsi="Tahoma" w:cs="Tahoma"/>
          <w:bCs/>
          <w:color w:val="2F5496"/>
          <w:sz w:val="22"/>
          <w:szCs w:val="22"/>
        </w:rPr>
        <w:t>ај</w:t>
      </w:r>
      <w:r w:rsidR="00373915" w:rsidRPr="001B395D">
        <w:rPr>
          <w:rFonts w:ascii="Tahoma" w:hAnsi="Tahoma" w:cs="Tahoma"/>
          <w:bCs/>
          <w:color w:val="2F5496"/>
          <w:sz w:val="22"/>
          <w:szCs w:val="22"/>
        </w:rPr>
        <w:t>ања од школовања у основном образовању</w:t>
      </w:r>
      <w:r w:rsidR="00A4655B" w:rsidRPr="001B395D">
        <w:rPr>
          <w:rFonts w:ascii="Tahoma" w:hAnsi="Tahoma" w:cs="Tahoma"/>
          <w:bCs/>
          <w:color w:val="2F5496"/>
          <w:sz w:val="22"/>
          <w:szCs w:val="22"/>
        </w:rPr>
        <w:t xml:space="preserve"> (у %), за период 2010-20</w:t>
      </w:r>
      <w:r w:rsidR="00AA4740" w:rsidRPr="001B395D">
        <w:rPr>
          <w:rFonts w:ascii="Tahoma" w:hAnsi="Tahoma" w:cs="Tahoma"/>
          <w:bCs/>
          <w:color w:val="2F5496"/>
          <w:sz w:val="22"/>
          <w:szCs w:val="22"/>
        </w:rPr>
        <w:t>20</w:t>
      </w:r>
      <w:r w:rsidR="00A4655B" w:rsidRPr="001B395D">
        <w:rPr>
          <w:rFonts w:ascii="Tahoma" w:hAnsi="Tahoma" w:cs="Tahoma"/>
          <w:bCs/>
          <w:color w:val="2F5496"/>
          <w:sz w:val="22"/>
          <w:szCs w:val="22"/>
        </w:rPr>
        <w:t>.</w:t>
      </w:r>
    </w:p>
    <w:p w:rsidR="00404662" w:rsidRPr="001B395D" w:rsidRDefault="00C4243B" w:rsidP="00404662">
      <w:pPr>
        <w:jc w:val="center"/>
        <w:rPr>
          <w:b/>
        </w:rPr>
      </w:pPr>
      <w:r w:rsidRPr="001B395D">
        <w:rPr>
          <w:b/>
          <w:noProof/>
        </w:rPr>
        <w:drawing>
          <wp:inline distT="0" distB="0" distL="0" distR="0">
            <wp:extent cx="5493074" cy="2402803"/>
            <wp:effectExtent l="0" t="0" r="0" b="0"/>
            <wp:docPr id="1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04662" w:rsidRPr="001B395D" w:rsidRDefault="00404662" w:rsidP="00404662">
      <w:pPr>
        <w:rPr>
          <w:rFonts w:ascii="Tahoma" w:hAnsi="Tahoma" w:cs="Tahoma"/>
          <w:b/>
        </w:rPr>
      </w:pPr>
      <w:r w:rsidRPr="001B395D">
        <w:rPr>
          <w:rFonts w:ascii="Tahoma" w:hAnsi="Tahoma" w:cs="Tahoma"/>
          <w:sz w:val="18"/>
          <w:szCs w:val="18"/>
        </w:rPr>
        <w:t>Извор: Републички завод за статистику, ДевИнфо база</w:t>
      </w:r>
      <w:r w:rsidRPr="001B395D">
        <w:rPr>
          <w:rFonts w:ascii="Tahoma" w:eastAsia="Open Sans" w:hAnsi="Tahoma" w:cs="Tahoma"/>
          <w:sz w:val="18"/>
          <w:szCs w:val="18"/>
        </w:rPr>
        <w:t>.</w:t>
      </w:r>
    </w:p>
    <w:p w:rsidR="00404662" w:rsidRPr="001B395D" w:rsidRDefault="00404662" w:rsidP="00404662">
      <w:pPr>
        <w:spacing w:line="259" w:lineRule="auto"/>
        <w:jc w:val="both"/>
        <w:rPr>
          <w:rFonts w:ascii="Tahoma" w:hAnsi="Tahoma" w:cs="Tahoma"/>
          <w:sz w:val="10"/>
          <w:szCs w:val="10"/>
        </w:rPr>
      </w:pPr>
    </w:p>
    <w:p w:rsidR="00DA753F" w:rsidRPr="001B395D" w:rsidRDefault="00DA753F" w:rsidP="00404662">
      <w:pPr>
        <w:spacing w:after="160" w:line="259" w:lineRule="auto"/>
        <w:jc w:val="both"/>
        <w:rPr>
          <w:rFonts w:ascii="Tahoma" w:hAnsi="Tahoma" w:cs="Tahoma"/>
          <w:b/>
          <w:color w:val="2F5496" w:themeColor="accent1" w:themeShade="BF"/>
          <w:sz w:val="22"/>
          <w:szCs w:val="22"/>
        </w:rPr>
      </w:pPr>
    </w:p>
    <w:p w:rsidR="006C0D54" w:rsidRPr="001B395D" w:rsidRDefault="007F0F4C" w:rsidP="00404662">
      <w:pPr>
        <w:spacing w:after="160" w:line="259" w:lineRule="auto"/>
        <w:jc w:val="both"/>
        <w:rPr>
          <w:rFonts w:ascii="Tahoma" w:hAnsi="Tahoma" w:cs="Tahoma"/>
          <w:sz w:val="22"/>
          <w:szCs w:val="22"/>
        </w:rPr>
      </w:pPr>
      <w:r w:rsidRPr="001B395D">
        <w:rPr>
          <w:rFonts w:ascii="Tahoma" w:hAnsi="Tahoma" w:cs="Tahoma"/>
          <w:b/>
          <w:color w:val="2F5496" w:themeColor="accent1" w:themeShade="BF"/>
          <w:sz w:val="22"/>
          <w:szCs w:val="22"/>
        </w:rPr>
        <w:t>С</w:t>
      </w:r>
      <w:r w:rsidR="00DA753F" w:rsidRPr="001B395D">
        <w:rPr>
          <w:rFonts w:ascii="Tahoma" w:hAnsi="Tahoma" w:cs="Tahoma"/>
          <w:b/>
          <w:color w:val="2F5496" w:themeColor="accent1" w:themeShade="BF"/>
          <w:sz w:val="22"/>
          <w:szCs w:val="22"/>
        </w:rPr>
        <w:t xml:space="preserve"> друге стране, с</w:t>
      </w:r>
      <w:r w:rsidRPr="001B395D">
        <w:rPr>
          <w:rFonts w:ascii="Tahoma" w:hAnsi="Tahoma" w:cs="Tahoma"/>
          <w:b/>
          <w:color w:val="2F5496" w:themeColor="accent1" w:themeShade="BF"/>
          <w:sz w:val="22"/>
          <w:szCs w:val="22"/>
        </w:rPr>
        <w:t xml:space="preserve">топа завршавања основне школе за </w:t>
      </w:r>
      <w:r w:rsidR="00DA753F" w:rsidRPr="001B395D">
        <w:rPr>
          <w:rFonts w:ascii="Tahoma" w:hAnsi="Tahoma" w:cs="Tahoma"/>
          <w:b/>
          <w:color w:val="2F5496" w:themeColor="accent1" w:themeShade="BF"/>
          <w:sz w:val="22"/>
          <w:szCs w:val="22"/>
        </w:rPr>
        <w:t>тр</w:t>
      </w:r>
      <w:r w:rsidRPr="001B395D">
        <w:rPr>
          <w:rFonts w:ascii="Tahoma" w:hAnsi="Tahoma" w:cs="Tahoma"/>
          <w:b/>
          <w:color w:val="2F5496" w:themeColor="accent1" w:themeShade="BF"/>
          <w:sz w:val="22"/>
          <w:szCs w:val="22"/>
        </w:rPr>
        <w:t>огодишњи период износи у просеку скоро</w:t>
      </w:r>
      <w:r w:rsidR="00DA753F" w:rsidRPr="001B395D">
        <w:rPr>
          <w:rFonts w:ascii="Tahoma" w:hAnsi="Tahoma" w:cs="Tahoma"/>
          <w:b/>
          <w:color w:val="2F5496" w:themeColor="accent1" w:themeShade="BF"/>
          <w:sz w:val="22"/>
          <w:szCs w:val="22"/>
        </w:rPr>
        <w:t xml:space="preserve"> 100</w:t>
      </w:r>
      <w:r w:rsidRPr="001B395D">
        <w:rPr>
          <w:rFonts w:ascii="Tahoma" w:hAnsi="Tahoma" w:cs="Tahoma"/>
          <w:b/>
          <w:color w:val="2F5496" w:themeColor="accent1" w:themeShade="BF"/>
          <w:sz w:val="22"/>
          <w:szCs w:val="22"/>
        </w:rPr>
        <w:t>%.</w:t>
      </w:r>
      <w:r w:rsidRPr="001B395D">
        <w:rPr>
          <w:rFonts w:ascii="Tahoma" w:hAnsi="Tahoma" w:cs="Tahoma"/>
          <w:sz w:val="22"/>
          <w:szCs w:val="22"/>
        </w:rPr>
        <w:t xml:space="preserve"> Подаци на годишњем нивоу изразито флуктуирају па је стога анализиран </w:t>
      </w:r>
      <w:r w:rsidR="00DA753F" w:rsidRPr="001B395D">
        <w:rPr>
          <w:rFonts w:ascii="Tahoma" w:hAnsi="Tahoma" w:cs="Tahoma"/>
          <w:sz w:val="22"/>
          <w:szCs w:val="22"/>
        </w:rPr>
        <w:t>тро</w:t>
      </w:r>
      <w:r w:rsidRPr="001B395D">
        <w:rPr>
          <w:rFonts w:ascii="Tahoma" w:hAnsi="Tahoma" w:cs="Tahoma"/>
          <w:sz w:val="22"/>
          <w:szCs w:val="22"/>
        </w:rPr>
        <w:t>годишњи просек који је изнена</w:t>
      </w:r>
      <w:r w:rsidR="00DA753F" w:rsidRPr="001B395D">
        <w:rPr>
          <w:rFonts w:ascii="Tahoma" w:hAnsi="Tahoma" w:cs="Tahoma"/>
          <w:sz w:val="22"/>
          <w:szCs w:val="22"/>
        </w:rPr>
        <w:t>ђ</w:t>
      </w:r>
      <w:r w:rsidRPr="001B395D">
        <w:rPr>
          <w:rFonts w:ascii="Tahoma" w:hAnsi="Tahoma" w:cs="Tahoma"/>
          <w:sz w:val="22"/>
          <w:szCs w:val="22"/>
        </w:rPr>
        <w:t>ујуће висок</w:t>
      </w:r>
      <w:r w:rsidR="00DA753F" w:rsidRPr="001B395D">
        <w:rPr>
          <w:rFonts w:ascii="Tahoma" w:hAnsi="Tahoma" w:cs="Tahoma"/>
          <w:sz w:val="22"/>
          <w:szCs w:val="22"/>
        </w:rPr>
        <w:t xml:space="preserve"> и у поређењу са подручјем Србија-Југ и Подунавском облашћу.</w:t>
      </w:r>
    </w:p>
    <w:p w:rsidR="006C0D54" w:rsidRPr="001B395D" w:rsidRDefault="006C0D54" w:rsidP="00404662">
      <w:pPr>
        <w:spacing w:line="259" w:lineRule="auto"/>
        <w:rPr>
          <w:rFonts w:ascii="Tahoma" w:hAnsi="Tahoma" w:cs="Tahoma"/>
          <w:b/>
          <w:smallCaps/>
          <w:sz w:val="8"/>
          <w:szCs w:val="8"/>
        </w:rPr>
      </w:pPr>
    </w:p>
    <w:p w:rsidR="00342776" w:rsidRPr="001B395D" w:rsidRDefault="007F0F4C" w:rsidP="00A14BCA">
      <w:pPr>
        <w:spacing w:after="80" w:line="259" w:lineRule="auto"/>
        <w:rPr>
          <w:rFonts w:ascii="Tahoma" w:hAnsi="Tahoma" w:cs="Tahoma"/>
          <w:bCs/>
          <w:color w:val="2F5496"/>
          <w:sz w:val="22"/>
          <w:szCs w:val="22"/>
        </w:rPr>
      </w:pPr>
      <w:r w:rsidRPr="001B395D">
        <w:rPr>
          <w:rFonts w:ascii="Tahoma" w:hAnsi="Tahoma" w:cs="Tahoma"/>
          <w:bCs/>
          <w:color w:val="2F5496"/>
          <w:sz w:val="22"/>
          <w:szCs w:val="22"/>
        </w:rPr>
        <w:t>Графикон</w:t>
      </w:r>
      <w:r w:rsidR="005715A0" w:rsidRPr="001B395D">
        <w:rPr>
          <w:rFonts w:ascii="Tahoma" w:hAnsi="Tahoma" w:cs="Tahoma"/>
          <w:bCs/>
          <w:color w:val="2F5496"/>
          <w:sz w:val="22"/>
          <w:szCs w:val="22"/>
        </w:rPr>
        <w:t>7</w:t>
      </w:r>
      <w:r w:rsidR="00342776" w:rsidRPr="001B395D">
        <w:rPr>
          <w:rFonts w:ascii="Tahoma" w:hAnsi="Tahoma" w:cs="Tahoma"/>
          <w:bCs/>
          <w:color w:val="2F5496"/>
          <w:sz w:val="22"/>
          <w:szCs w:val="22"/>
        </w:rPr>
        <w:t>.</w:t>
      </w:r>
      <w:r w:rsidRPr="001B395D">
        <w:rPr>
          <w:rFonts w:ascii="Tahoma" w:hAnsi="Tahoma" w:cs="Tahoma"/>
          <w:bCs/>
          <w:color w:val="2F5496"/>
          <w:sz w:val="22"/>
          <w:szCs w:val="22"/>
        </w:rPr>
        <w:t xml:space="preserve"> Стопа завршавања основне школе</w:t>
      </w:r>
      <w:r w:rsidR="00A72639" w:rsidRPr="001B395D">
        <w:rPr>
          <w:rFonts w:ascii="Tahoma" w:hAnsi="Tahoma" w:cs="Tahoma"/>
          <w:bCs/>
          <w:color w:val="2F5496"/>
          <w:sz w:val="22"/>
          <w:szCs w:val="22"/>
        </w:rPr>
        <w:t xml:space="preserve"> (у %)</w:t>
      </w:r>
      <w:r w:rsidRPr="001B395D">
        <w:rPr>
          <w:rFonts w:ascii="Tahoma" w:hAnsi="Tahoma" w:cs="Tahoma"/>
          <w:bCs/>
          <w:color w:val="2F5496"/>
          <w:sz w:val="22"/>
          <w:szCs w:val="22"/>
        </w:rPr>
        <w:t xml:space="preserve">, </w:t>
      </w:r>
      <w:r w:rsidR="00DA79EA" w:rsidRPr="001B395D">
        <w:rPr>
          <w:rFonts w:ascii="Tahoma" w:hAnsi="Tahoma" w:cs="Tahoma"/>
          <w:bCs/>
          <w:color w:val="2F5496"/>
          <w:sz w:val="22"/>
          <w:szCs w:val="22"/>
        </w:rPr>
        <w:t xml:space="preserve">трогодишњи </w:t>
      </w:r>
      <w:r w:rsidRPr="001B395D">
        <w:rPr>
          <w:rFonts w:ascii="Tahoma" w:hAnsi="Tahoma" w:cs="Tahoma"/>
          <w:bCs/>
          <w:color w:val="2F5496"/>
          <w:sz w:val="22"/>
          <w:szCs w:val="22"/>
        </w:rPr>
        <w:t xml:space="preserve">просек </w:t>
      </w:r>
      <w:r w:rsidR="00404662" w:rsidRPr="001B395D">
        <w:rPr>
          <w:rFonts w:ascii="Tahoma" w:hAnsi="Tahoma" w:cs="Tahoma"/>
          <w:bCs/>
          <w:color w:val="2F5496"/>
          <w:sz w:val="22"/>
          <w:szCs w:val="22"/>
        </w:rPr>
        <w:t xml:space="preserve">за период </w:t>
      </w:r>
      <w:r w:rsidRPr="001B395D">
        <w:rPr>
          <w:rFonts w:ascii="Tahoma" w:hAnsi="Tahoma" w:cs="Tahoma"/>
          <w:bCs/>
          <w:color w:val="2F5496"/>
          <w:sz w:val="22"/>
          <w:szCs w:val="22"/>
        </w:rPr>
        <w:t>201</w:t>
      </w:r>
      <w:r w:rsidR="00A76220" w:rsidRPr="001B395D">
        <w:rPr>
          <w:rFonts w:ascii="Tahoma" w:hAnsi="Tahoma" w:cs="Tahoma"/>
          <w:bCs/>
          <w:color w:val="2F5496"/>
          <w:sz w:val="22"/>
          <w:szCs w:val="22"/>
        </w:rPr>
        <w:t>8</w:t>
      </w:r>
      <w:r w:rsidRPr="001B395D">
        <w:rPr>
          <w:rFonts w:ascii="Tahoma" w:hAnsi="Tahoma" w:cs="Tahoma"/>
          <w:bCs/>
          <w:color w:val="2F5496"/>
          <w:sz w:val="22"/>
          <w:szCs w:val="22"/>
        </w:rPr>
        <w:t>-20</w:t>
      </w:r>
      <w:r w:rsidR="00AA4740" w:rsidRPr="001B395D">
        <w:rPr>
          <w:rFonts w:ascii="Tahoma" w:hAnsi="Tahoma" w:cs="Tahoma"/>
          <w:bCs/>
          <w:color w:val="2F5496"/>
          <w:sz w:val="22"/>
          <w:szCs w:val="22"/>
        </w:rPr>
        <w:t>20</w:t>
      </w:r>
      <w:r w:rsidR="00404662" w:rsidRPr="001B395D">
        <w:rPr>
          <w:rFonts w:ascii="Tahoma" w:hAnsi="Tahoma" w:cs="Tahoma"/>
          <w:bCs/>
          <w:color w:val="2F5496"/>
          <w:sz w:val="22"/>
          <w:szCs w:val="22"/>
        </w:rPr>
        <w:t>.</w:t>
      </w:r>
    </w:p>
    <w:p w:rsidR="00A14BCA" w:rsidRPr="001B395D" w:rsidRDefault="00CA2BBA" w:rsidP="00A14BCA">
      <w:pPr>
        <w:jc w:val="center"/>
        <w:rPr>
          <w:noProof/>
          <w:lang w:eastAsia="en-GB"/>
        </w:rPr>
      </w:pPr>
      <w:r w:rsidRPr="001B395D">
        <w:rPr>
          <w:noProof/>
        </w:rPr>
        <w:drawing>
          <wp:inline distT="0" distB="0" distL="0" distR="0">
            <wp:extent cx="4362450" cy="2466975"/>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01BA0" w:rsidRPr="001B395D" w:rsidRDefault="00801BA0" w:rsidP="00404662">
      <w:pPr>
        <w:rPr>
          <w:rFonts w:ascii="Tahoma" w:hAnsi="Tahoma" w:cs="Tahoma"/>
          <w:sz w:val="18"/>
          <w:szCs w:val="18"/>
        </w:rPr>
      </w:pPr>
    </w:p>
    <w:p w:rsidR="00404662" w:rsidRPr="001B395D" w:rsidRDefault="00404662" w:rsidP="00404662">
      <w:pPr>
        <w:rPr>
          <w:rFonts w:ascii="Tahoma" w:eastAsia="Open Sans" w:hAnsi="Tahoma" w:cs="Tahoma"/>
          <w:sz w:val="18"/>
          <w:szCs w:val="18"/>
        </w:rPr>
      </w:pPr>
      <w:r w:rsidRPr="001B395D">
        <w:rPr>
          <w:rFonts w:ascii="Tahoma" w:hAnsi="Tahoma" w:cs="Tahoma"/>
          <w:sz w:val="18"/>
          <w:szCs w:val="18"/>
        </w:rPr>
        <w:t>Извор: Републички завод за статистику, ДевИнфо база</w:t>
      </w:r>
      <w:r w:rsidRPr="001B395D">
        <w:rPr>
          <w:rFonts w:ascii="Tahoma" w:eastAsia="Open Sans" w:hAnsi="Tahoma" w:cs="Tahoma"/>
          <w:sz w:val="18"/>
          <w:szCs w:val="18"/>
        </w:rPr>
        <w:t>.</w:t>
      </w:r>
    </w:p>
    <w:p w:rsidR="00CA2BBA" w:rsidRPr="001B395D" w:rsidRDefault="00CA2BBA" w:rsidP="00404662">
      <w:pPr>
        <w:rPr>
          <w:rFonts w:ascii="Tahoma" w:eastAsia="Open Sans" w:hAnsi="Tahoma" w:cs="Tahoma"/>
          <w:sz w:val="18"/>
          <w:szCs w:val="18"/>
        </w:rPr>
      </w:pPr>
    </w:p>
    <w:p w:rsidR="00CA2BBA" w:rsidRPr="001B395D" w:rsidRDefault="00CA2BBA" w:rsidP="00404662">
      <w:pPr>
        <w:rPr>
          <w:rFonts w:ascii="Tahoma" w:hAnsi="Tahoma" w:cs="Tahoma"/>
          <w:b/>
        </w:rPr>
      </w:pPr>
    </w:p>
    <w:p w:rsidR="00DA753F" w:rsidRPr="001B395D" w:rsidRDefault="00DA753F" w:rsidP="00404662">
      <w:pPr>
        <w:rPr>
          <w:rFonts w:ascii="Tahoma" w:hAnsi="Tahoma" w:cs="Tahoma"/>
          <w:b/>
        </w:rPr>
      </w:pPr>
    </w:p>
    <w:p w:rsidR="00DA753F" w:rsidRPr="001B395D" w:rsidRDefault="00DA753F" w:rsidP="00404662">
      <w:pPr>
        <w:rPr>
          <w:rFonts w:ascii="Tahoma" w:hAnsi="Tahoma" w:cs="Tahoma"/>
          <w:b/>
        </w:rPr>
      </w:pPr>
    </w:p>
    <w:p w:rsidR="00D15CE4" w:rsidRPr="001B395D" w:rsidRDefault="002C4545" w:rsidP="002F1B46">
      <w:pPr>
        <w:rPr>
          <w:rFonts w:ascii="Tahoma" w:hAnsi="Tahoma" w:cs="Tahoma"/>
          <w:sz w:val="22"/>
          <w:szCs w:val="22"/>
        </w:rPr>
      </w:pPr>
      <w:r w:rsidRPr="001B395D">
        <w:rPr>
          <w:rFonts w:ascii="Tahoma" w:hAnsi="Tahoma" w:cs="Tahoma"/>
          <w:b/>
          <w:bCs/>
          <w:color w:val="2F5496"/>
        </w:rPr>
        <w:t>С</w:t>
      </w:r>
      <w:r w:rsidR="001A5150" w:rsidRPr="001B395D">
        <w:rPr>
          <w:rFonts w:ascii="Tahoma" w:hAnsi="Tahoma" w:cs="Tahoma"/>
          <w:b/>
          <w:bCs/>
          <w:color w:val="2F5496"/>
        </w:rPr>
        <w:t xml:space="preserve">редње образовање </w:t>
      </w:r>
    </w:p>
    <w:p w:rsidR="001A5150" w:rsidRPr="001B395D" w:rsidRDefault="001A5150" w:rsidP="001A5150">
      <w:pPr>
        <w:spacing w:after="160" w:line="259" w:lineRule="auto"/>
        <w:jc w:val="both"/>
        <w:rPr>
          <w:rFonts w:ascii="Tahoma" w:hAnsi="Tahoma" w:cs="Tahoma"/>
          <w:sz w:val="10"/>
          <w:szCs w:val="10"/>
        </w:rPr>
      </w:pPr>
    </w:p>
    <w:p w:rsidR="007F0F4C" w:rsidRPr="001B395D" w:rsidRDefault="007F0F4C" w:rsidP="003D4A5D">
      <w:pPr>
        <w:shd w:val="clear" w:color="auto" w:fill="D9E2F3" w:themeFill="accent1" w:themeFillTint="33"/>
        <w:spacing w:after="160" w:line="259" w:lineRule="auto"/>
        <w:rPr>
          <w:rFonts w:ascii="Tahoma" w:hAnsi="Tahoma" w:cs="Tahoma"/>
          <w:b/>
          <w:color w:val="1F3864" w:themeColor="accent1" w:themeShade="80"/>
          <w:sz w:val="22"/>
          <w:szCs w:val="22"/>
        </w:rPr>
      </w:pPr>
      <w:r w:rsidRPr="001B395D">
        <w:rPr>
          <w:rFonts w:ascii="Tahoma" w:hAnsi="Tahoma" w:cs="Tahoma"/>
          <w:b/>
          <w:color w:val="1F3864" w:themeColor="accent1" w:themeShade="80"/>
          <w:sz w:val="22"/>
          <w:szCs w:val="22"/>
        </w:rPr>
        <w:t>О</w:t>
      </w:r>
      <w:r w:rsidR="003D4A5D" w:rsidRPr="001B395D">
        <w:rPr>
          <w:rFonts w:ascii="Tahoma" w:hAnsi="Tahoma" w:cs="Tahoma"/>
          <w:b/>
          <w:color w:val="1F3864" w:themeColor="accent1" w:themeShade="80"/>
          <w:sz w:val="22"/>
          <w:szCs w:val="22"/>
        </w:rPr>
        <w:t xml:space="preserve">квир </w:t>
      </w:r>
      <w:r w:rsidRPr="001B395D">
        <w:rPr>
          <w:rFonts w:ascii="Tahoma" w:hAnsi="Tahoma" w:cs="Tahoma"/>
          <w:b/>
          <w:color w:val="1F3864" w:themeColor="accent1" w:themeShade="80"/>
          <w:sz w:val="22"/>
          <w:szCs w:val="22"/>
        </w:rPr>
        <w:t>6. С</w:t>
      </w:r>
      <w:r w:rsidR="003D4A5D" w:rsidRPr="001B395D">
        <w:rPr>
          <w:rFonts w:ascii="Tahoma" w:hAnsi="Tahoma" w:cs="Tahoma"/>
          <w:b/>
          <w:color w:val="1F3864" w:themeColor="accent1" w:themeShade="80"/>
          <w:sz w:val="22"/>
          <w:szCs w:val="22"/>
        </w:rPr>
        <w:t xml:space="preserve">тратешки правци у средњошколском образовању </w:t>
      </w:r>
    </w:p>
    <w:p w:rsidR="00DB5D24" w:rsidRPr="001B395D" w:rsidRDefault="007F0F4C" w:rsidP="003D4A5D">
      <w:pPr>
        <w:shd w:val="clear" w:color="auto" w:fill="D9E2F3" w:themeFill="accent1" w:themeFillTint="33"/>
        <w:spacing w:after="160" w:line="259" w:lineRule="auto"/>
        <w:jc w:val="both"/>
        <w:rPr>
          <w:rFonts w:ascii="Tahoma" w:hAnsi="Tahoma" w:cs="Tahoma"/>
          <w:sz w:val="22"/>
          <w:szCs w:val="22"/>
        </w:rPr>
      </w:pPr>
      <w:r w:rsidRPr="001B395D">
        <w:rPr>
          <w:rFonts w:ascii="Tahoma" w:hAnsi="Tahoma" w:cs="Tahoma"/>
          <w:sz w:val="22"/>
          <w:szCs w:val="22"/>
        </w:rPr>
        <w:t>Према Стратегиј</w:t>
      </w:r>
      <w:r w:rsidR="00A53A1E" w:rsidRPr="001B395D">
        <w:rPr>
          <w:rFonts w:ascii="Tahoma" w:hAnsi="Tahoma" w:cs="Tahoma"/>
          <w:sz w:val="22"/>
          <w:szCs w:val="22"/>
        </w:rPr>
        <w:t>и</w:t>
      </w:r>
      <w:r w:rsidRPr="001B395D">
        <w:rPr>
          <w:rFonts w:ascii="Tahoma" w:hAnsi="Tahoma" w:cs="Tahoma"/>
          <w:sz w:val="22"/>
          <w:szCs w:val="22"/>
        </w:rPr>
        <w:t xml:space="preserve"> образовања до 2030. обезбеђивање услова за увођење обавезног средњег образовања и васпитања се може сматрати једним од кључних приоритета. Оптимизација мреже средњих школа, која је у току, треба да буде убрзана а капацитети локалних самоуправа за планирање уписа засновани на донетим критеријумима треба да буду ојачани.</w:t>
      </w:r>
    </w:p>
    <w:p w:rsidR="003D4A5D" w:rsidRPr="001B395D" w:rsidRDefault="003D4A5D" w:rsidP="003D4A5D">
      <w:pPr>
        <w:shd w:val="clear" w:color="auto" w:fill="D9E2F3" w:themeFill="accent1" w:themeFillTint="33"/>
        <w:spacing w:line="259" w:lineRule="auto"/>
        <w:jc w:val="both"/>
        <w:rPr>
          <w:rFonts w:ascii="Tahoma" w:hAnsi="Tahoma" w:cs="Tahoma"/>
          <w:sz w:val="10"/>
          <w:szCs w:val="10"/>
        </w:rPr>
      </w:pPr>
    </w:p>
    <w:p w:rsidR="00793676" w:rsidRPr="001B395D" w:rsidRDefault="00793676" w:rsidP="003D4A5D">
      <w:pPr>
        <w:spacing w:after="160" w:line="259" w:lineRule="auto"/>
        <w:rPr>
          <w:rFonts w:ascii="Tahoma" w:hAnsi="Tahoma" w:cs="Tahoma"/>
          <w:b/>
          <w:sz w:val="10"/>
          <w:szCs w:val="10"/>
        </w:rPr>
      </w:pPr>
    </w:p>
    <w:p w:rsidR="00A53A1E" w:rsidRPr="001B395D" w:rsidRDefault="00F2165B" w:rsidP="003D4A5D">
      <w:pPr>
        <w:spacing w:after="160" w:line="259" w:lineRule="auto"/>
        <w:jc w:val="both"/>
        <w:rPr>
          <w:rFonts w:ascii="Tahoma" w:hAnsi="Tahoma" w:cs="Tahoma"/>
          <w:color w:val="000000" w:themeColor="text1"/>
          <w:sz w:val="22"/>
          <w:szCs w:val="22"/>
        </w:rPr>
      </w:pPr>
      <w:r w:rsidRPr="001B395D">
        <w:rPr>
          <w:rFonts w:ascii="Tahoma" w:hAnsi="Tahoma" w:cs="Tahoma"/>
          <w:b/>
          <w:color w:val="2F5496"/>
          <w:sz w:val="22"/>
          <w:szCs w:val="22"/>
        </w:rPr>
        <w:t xml:space="preserve">У </w:t>
      </w:r>
      <w:r w:rsidR="00A53A1E" w:rsidRPr="001B395D">
        <w:rPr>
          <w:rFonts w:ascii="Tahoma" w:hAnsi="Tahoma" w:cs="Tahoma"/>
          <w:b/>
          <w:color w:val="2F5496"/>
          <w:sz w:val="22"/>
          <w:szCs w:val="22"/>
        </w:rPr>
        <w:t xml:space="preserve">Смедеревској Паланци се </w:t>
      </w:r>
      <w:r w:rsidRPr="001B395D">
        <w:rPr>
          <w:rFonts w:ascii="Tahoma" w:hAnsi="Tahoma" w:cs="Tahoma"/>
          <w:b/>
          <w:color w:val="2F5496"/>
          <w:sz w:val="22"/>
          <w:szCs w:val="22"/>
        </w:rPr>
        <w:t>налаз</w:t>
      </w:r>
      <w:r w:rsidR="00A53A1E" w:rsidRPr="001B395D">
        <w:rPr>
          <w:rFonts w:ascii="Tahoma" w:hAnsi="Tahoma" w:cs="Tahoma"/>
          <w:b/>
          <w:color w:val="2F5496"/>
          <w:sz w:val="22"/>
          <w:szCs w:val="22"/>
        </w:rPr>
        <w:t xml:space="preserve">етри </w:t>
      </w:r>
      <w:r w:rsidRPr="001B395D">
        <w:rPr>
          <w:rFonts w:ascii="Tahoma" w:hAnsi="Tahoma" w:cs="Tahoma"/>
          <w:b/>
          <w:color w:val="2F5496"/>
          <w:sz w:val="22"/>
          <w:szCs w:val="22"/>
        </w:rPr>
        <w:t>средњ</w:t>
      </w:r>
      <w:r w:rsidR="00A53A1E" w:rsidRPr="001B395D">
        <w:rPr>
          <w:rFonts w:ascii="Tahoma" w:hAnsi="Tahoma" w:cs="Tahoma"/>
          <w:b/>
          <w:color w:val="2F5496"/>
          <w:sz w:val="22"/>
          <w:szCs w:val="22"/>
        </w:rPr>
        <w:t>е</w:t>
      </w:r>
      <w:r w:rsidRPr="001B395D">
        <w:rPr>
          <w:rFonts w:ascii="Tahoma" w:hAnsi="Tahoma" w:cs="Tahoma"/>
          <w:b/>
          <w:color w:val="2F5496"/>
          <w:sz w:val="22"/>
          <w:szCs w:val="22"/>
        </w:rPr>
        <w:t xml:space="preserve"> школ</w:t>
      </w:r>
      <w:r w:rsidR="00A53A1E" w:rsidRPr="001B395D">
        <w:rPr>
          <w:rFonts w:ascii="Tahoma" w:hAnsi="Tahoma" w:cs="Tahoma"/>
          <w:b/>
          <w:color w:val="2F5496"/>
          <w:sz w:val="22"/>
          <w:szCs w:val="22"/>
        </w:rPr>
        <w:t xml:space="preserve">е - </w:t>
      </w:r>
      <w:r w:rsidR="00A52928" w:rsidRPr="001B395D">
        <w:rPr>
          <w:rFonts w:ascii="Tahoma" w:hAnsi="Tahoma" w:cs="Tahoma"/>
          <w:color w:val="000000" w:themeColor="text1"/>
          <w:sz w:val="22"/>
          <w:szCs w:val="22"/>
        </w:rPr>
        <w:t>Машинско-електротехничка школа ”Гоша”, Средња школа ”Жикица Дамјановић” (са подручјима рада хемија неметали и графичарство, производња и прерада хране и здравство и социјална заштита) и Паланачка гимназија</w:t>
      </w:r>
    </w:p>
    <w:p w:rsidR="00174977" w:rsidRPr="001B395D" w:rsidRDefault="00F2165B" w:rsidP="003D4A5D">
      <w:pPr>
        <w:spacing w:after="160" w:line="259" w:lineRule="auto"/>
        <w:jc w:val="both"/>
        <w:rPr>
          <w:rFonts w:ascii="Tahoma" w:hAnsi="Tahoma" w:cs="Tahoma"/>
          <w:sz w:val="22"/>
          <w:szCs w:val="22"/>
        </w:rPr>
      </w:pPr>
      <w:r w:rsidRPr="001B395D">
        <w:rPr>
          <w:rFonts w:ascii="Tahoma" w:hAnsi="Tahoma" w:cs="Tahoma"/>
          <w:b/>
          <w:color w:val="2F5496" w:themeColor="accent1" w:themeShade="BF"/>
          <w:sz w:val="22"/>
          <w:szCs w:val="22"/>
        </w:rPr>
        <w:t xml:space="preserve">Стопа одустајања од школовања у средњем образовању је </w:t>
      </w:r>
      <w:r w:rsidR="007A592F" w:rsidRPr="001B395D">
        <w:rPr>
          <w:rFonts w:ascii="Tahoma" w:hAnsi="Tahoma" w:cs="Tahoma"/>
          <w:b/>
          <w:color w:val="2F5496" w:themeColor="accent1" w:themeShade="BF"/>
          <w:sz w:val="22"/>
          <w:szCs w:val="22"/>
        </w:rPr>
        <w:t>практично непостојећа.</w:t>
      </w:r>
      <w:r w:rsidR="007A592F" w:rsidRPr="001B395D">
        <w:rPr>
          <w:rFonts w:ascii="Tahoma" w:hAnsi="Tahoma" w:cs="Tahoma"/>
          <w:sz w:val="22"/>
          <w:szCs w:val="22"/>
        </w:rPr>
        <w:t xml:space="preserve"> Почетком деценије стопа је била позитивна али опет значајно нижа од просечне стопе одустајања на подручју Србија-Југ и Подунавској области. </w:t>
      </w:r>
    </w:p>
    <w:p w:rsidR="002C4545" w:rsidRPr="001B395D" w:rsidRDefault="002C4545" w:rsidP="003D4A5D">
      <w:pPr>
        <w:spacing w:line="259" w:lineRule="auto"/>
        <w:jc w:val="both"/>
        <w:rPr>
          <w:rFonts w:ascii="Tahoma" w:hAnsi="Tahoma" w:cs="Tahoma"/>
          <w:smallCaps/>
          <w:sz w:val="10"/>
          <w:szCs w:val="10"/>
        </w:rPr>
      </w:pPr>
    </w:p>
    <w:p w:rsidR="00DB5D24" w:rsidRPr="001B395D" w:rsidRDefault="000648B1" w:rsidP="006567D5">
      <w:pPr>
        <w:spacing w:after="80" w:line="259" w:lineRule="auto"/>
        <w:rPr>
          <w:rFonts w:ascii="Tahoma" w:hAnsi="Tahoma" w:cs="Tahoma"/>
          <w:bCs/>
          <w:color w:val="2F5496"/>
          <w:sz w:val="22"/>
          <w:szCs w:val="22"/>
        </w:rPr>
      </w:pPr>
      <w:r w:rsidRPr="001B395D">
        <w:rPr>
          <w:rFonts w:ascii="Tahoma" w:hAnsi="Tahoma" w:cs="Tahoma"/>
          <w:bCs/>
          <w:color w:val="2F5496"/>
          <w:sz w:val="22"/>
          <w:szCs w:val="22"/>
        </w:rPr>
        <w:t>Графикон</w:t>
      </w:r>
      <w:r w:rsidR="005715A0" w:rsidRPr="001B395D">
        <w:rPr>
          <w:rFonts w:ascii="Tahoma" w:hAnsi="Tahoma" w:cs="Tahoma"/>
          <w:bCs/>
          <w:color w:val="2F5496"/>
          <w:sz w:val="22"/>
          <w:szCs w:val="22"/>
        </w:rPr>
        <w:t>8</w:t>
      </w:r>
      <w:r w:rsidR="00DB5D24" w:rsidRPr="001B395D">
        <w:rPr>
          <w:rFonts w:ascii="Tahoma" w:hAnsi="Tahoma" w:cs="Tahoma"/>
          <w:bCs/>
          <w:color w:val="2F5496"/>
          <w:sz w:val="22"/>
          <w:szCs w:val="22"/>
        </w:rPr>
        <w:t xml:space="preserve">. </w:t>
      </w:r>
      <w:r w:rsidRPr="001B395D">
        <w:rPr>
          <w:rFonts w:ascii="Tahoma" w:hAnsi="Tahoma" w:cs="Tahoma"/>
          <w:bCs/>
          <w:color w:val="2F5496"/>
          <w:sz w:val="22"/>
          <w:szCs w:val="22"/>
        </w:rPr>
        <w:t>Стопа одустајања</w:t>
      </w:r>
      <w:r w:rsidR="007F0F4C" w:rsidRPr="001B395D">
        <w:rPr>
          <w:rFonts w:ascii="Tahoma" w:hAnsi="Tahoma" w:cs="Tahoma"/>
          <w:bCs/>
          <w:color w:val="2F5496"/>
          <w:sz w:val="22"/>
          <w:szCs w:val="22"/>
        </w:rPr>
        <w:t xml:space="preserve"> од школовања</w:t>
      </w:r>
      <w:r w:rsidRPr="001B395D">
        <w:rPr>
          <w:rFonts w:ascii="Tahoma" w:hAnsi="Tahoma" w:cs="Tahoma"/>
          <w:bCs/>
          <w:color w:val="2F5496"/>
          <w:sz w:val="22"/>
          <w:szCs w:val="22"/>
        </w:rPr>
        <w:t xml:space="preserve"> у средњем образовању</w:t>
      </w:r>
      <w:r w:rsidR="00DB5D24" w:rsidRPr="001B395D">
        <w:rPr>
          <w:rFonts w:ascii="Tahoma" w:hAnsi="Tahoma" w:cs="Tahoma"/>
          <w:bCs/>
          <w:color w:val="2F5496"/>
          <w:sz w:val="22"/>
          <w:szCs w:val="22"/>
        </w:rPr>
        <w:t xml:space="preserve"> (</w:t>
      </w:r>
      <w:r w:rsidR="003D4A5D" w:rsidRPr="001B395D">
        <w:rPr>
          <w:rFonts w:ascii="Tahoma" w:hAnsi="Tahoma" w:cs="Tahoma"/>
          <w:bCs/>
          <w:color w:val="2F5496"/>
          <w:sz w:val="22"/>
          <w:szCs w:val="22"/>
        </w:rPr>
        <w:t xml:space="preserve">у </w:t>
      </w:r>
      <w:r w:rsidR="00DB5D24" w:rsidRPr="001B395D">
        <w:rPr>
          <w:rFonts w:ascii="Tahoma" w:hAnsi="Tahoma" w:cs="Tahoma"/>
          <w:bCs/>
          <w:color w:val="2F5496"/>
          <w:sz w:val="22"/>
          <w:szCs w:val="22"/>
        </w:rPr>
        <w:t xml:space="preserve">%), </w:t>
      </w:r>
      <w:r w:rsidR="003D4A5D" w:rsidRPr="001B395D">
        <w:rPr>
          <w:rFonts w:ascii="Tahoma" w:hAnsi="Tahoma" w:cs="Tahoma"/>
          <w:bCs/>
          <w:color w:val="2F5496"/>
          <w:sz w:val="22"/>
          <w:szCs w:val="22"/>
        </w:rPr>
        <w:t xml:space="preserve">за период </w:t>
      </w:r>
      <w:r w:rsidR="00DB5D24" w:rsidRPr="001B395D">
        <w:rPr>
          <w:rFonts w:ascii="Tahoma" w:hAnsi="Tahoma" w:cs="Tahoma"/>
          <w:bCs/>
          <w:color w:val="2F5496"/>
          <w:sz w:val="22"/>
          <w:szCs w:val="22"/>
        </w:rPr>
        <w:t>2010-20</w:t>
      </w:r>
      <w:r w:rsidR="00AA4740" w:rsidRPr="001B395D">
        <w:rPr>
          <w:rFonts w:ascii="Tahoma" w:hAnsi="Tahoma" w:cs="Tahoma"/>
          <w:bCs/>
          <w:color w:val="2F5496"/>
          <w:sz w:val="22"/>
          <w:szCs w:val="22"/>
        </w:rPr>
        <w:t>20</w:t>
      </w:r>
      <w:r w:rsidR="003D4A5D" w:rsidRPr="001B395D">
        <w:rPr>
          <w:rFonts w:ascii="Tahoma" w:hAnsi="Tahoma" w:cs="Tahoma"/>
          <w:bCs/>
          <w:color w:val="2F5496"/>
          <w:sz w:val="22"/>
          <w:szCs w:val="22"/>
        </w:rPr>
        <w:t>.</w:t>
      </w:r>
    </w:p>
    <w:p w:rsidR="006567D5" w:rsidRPr="001B395D" w:rsidRDefault="00A22EDB" w:rsidP="00A2651C">
      <w:pPr>
        <w:jc w:val="center"/>
        <w:rPr>
          <w:noProof/>
          <w:lang w:eastAsia="en-GB"/>
        </w:rPr>
      </w:pPr>
      <w:r w:rsidRPr="001B395D">
        <w:rPr>
          <w:noProof/>
        </w:rPr>
        <w:drawing>
          <wp:inline distT="0" distB="0" distL="0" distR="0">
            <wp:extent cx="5559819" cy="3023527"/>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F4693" w:rsidRPr="001B395D" w:rsidRDefault="00AF4693" w:rsidP="00AF4693">
      <w:pPr>
        <w:rPr>
          <w:rFonts w:ascii="Tahoma" w:eastAsia="Open Sans" w:hAnsi="Tahoma" w:cs="Tahoma"/>
          <w:sz w:val="18"/>
          <w:szCs w:val="18"/>
        </w:rPr>
      </w:pPr>
      <w:r w:rsidRPr="001B395D">
        <w:rPr>
          <w:rFonts w:ascii="Tahoma" w:hAnsi="Tahoma" w:cs="Tahoma"/>
          <w:sz w:val="18"/>
          <w:szCs w:val="18"/>
        </w:rPr>
        <w:t>Извор: Републички завод за статистику, ДевИнфо база</w:t>
      </w:r>
      <w:r w:rsidRPr="001B395D">
        <w:rPr>
          <w:rFonts w:ascii="Tahoma" w:eastAsia="Open Sans" w:hAnsi="Tahoma" w:cs="Tahoma"/>
          <w:sz w:val="18"/>
          <w:szCs w:val="18"/>
        </w:rPr>
        <w:t>.</w:t>
      </w:r>
    </w:p>
    <w:p w:rsidR="00174977" w:rsidRPr="001B395D" w:rsidRDefault="00174977" w:rsidP="00AF4693">
      <w:pPr>
        <w:rPr>
          <w:rFonts w:ascii="Tahoma" w:hAnsi="Tahoma" w:cs="Tahoma"/>
          <w:b/>
        </w:rPr>
      </w:pPr>
    </w:p>
    <w:p w:rsidR="00DB5D24" w:rsidRPr="001B395D" w:rsidRDefault="00DB5D24" w:rsidP="00AF4693">
      <w:pPr>
        <w:spacing w:after="80" w:line="259" w:lineRule="auto"/>
        <w:jc w:val="both"/>
        <w:rPr>
          <w:rFonts w:ascii="Tahoma" w:hAnsi="Tahoma" w:cs="Tahoma"/>
          <w:sz w:val="10"/>
          <w:szCs w:val="10"/>
        </w:rPr>
      </w:pPr>
    </w:p>
    <w:p w:rsidR="00F2165B" w:rsidRPr="001B395D" w:rsidRDefault="00F2165B" w:rsidP="0068070A">
      <w:pPr>
        <w:pStyle w:val="Heading1"/>
        <w:spacing w:after="240"/>
        <w:rPr>
          <w:rFonts w:ascii="Tahoma" w:hAnsi="Tahoma" w:cs="Tahoma"/>
          <w:b/>
          <w:bCs/>
          <w:sz w:val="28"/>
          <w:szCs w:val="28"/>
        </w:rPr>
      </w:pPr>
      <w:r w:rsidRPr="001B395D">
        <w:rPr>
          <w:rFonts w:ascii="Tahoma" w:hAnsi="Tahoma" w:cs="Tahoma"/>
          <w:b/>
          <w:bCs/>
          <w:sz w:val="28"/>
          <w:szCs w:val="28"/>
        </w:rPr>
        <w:lastRenderedPageBreak/>
        <w:t>З</w:t>
      </w:r>
      <w:r w:rsidR="0068070A" w:rsidRPr="001B395D">
        <w:rPr>
          <w:rFonts w:ascii="Tahoma" w:hAnsi="Tahoma" w:cs="Tahoma"/>
          <w:b/>
          <w:bCs/>
          <w:sz w:val="28"/>
          <w:szCs w:val="28"/>
        </w:rPr>
        <w:t xml:space="preserve">акључак и препоруке </w:t>
      </w:r>
    </w:p>
    <w:p w:rsidR="002A111A" w:rsidRPr="001B395D" w:rsidRDefault="002A111A" w:rsidP="002A111A">
      <w:pPr>
        <w:spacing w:after="160" w:line="259" w:lineRule="auto"/>
        <w:jc w:val="both"/>
        <w:rPr>
          <w:rFonts w:ascii="Tahoma" w:hAnsi="Tahoma" w:cs="Tahoma"/>
          <w:sz w:val="22"/>
          <w:szCs w:val="22"/>
        </w:rPr>
      </w:pPr>
      <w:r w:rsidRPr="001B395D">
        <w:rPr>
          <w:rFonts w:ascii="Tahoma" w:hAnsi="Tahoma" w:cs="Tahoma"/>
          <w:sz w:val="22"/>
          <w:szCs w:val="22"/>
        </w:rPr>
        <w:t xml:space="preserve">Предшколско васпитање и образовање је изворна надлежност ЈЛС где је она у потпуности одговорна како за финансирање тако и организацију рада. Стога су препоруке за повећање обухвата ПВО кључне. </w:t>
      </w:r>
    </w:p>
    <w:p w:rsidR="002A111A" w:rsidRPr="001B395D" w:rsidRDefault="001B395D" w:rsidP="002A111A">
      <w:pPr>
        <w:spacing w:after="160" w:line="259" w:lineRule="auto"/>
        <w:jc w:val="both"/>
        <w:rPr>
          <w:rFonts w:ascii="Tahoma" w:hAnsi="Tahoma" w:cs="Tahoma"/>
          <w:sz w:val="22"/>
          <w:szCs w:val="22"/>
        </w:rPr>
      </w:pPr>
      <w:r w:rsidRPr="001B395D">
        <w:rPr>
          <w:rFonts w:ascii="Tahoma" w:hAnsi="Tahoma" w:cs="Tahoma"/>
          <w:sz w:val="22"/>
          <w:szCs w:val="22"/>
        </w:rPr>
        <w:t>Обухват</w:t>
      </w:r>
      <w:r w:rsidR="002A111A" w:rsidRPr="001B395D">
        <w:rPr>
          <w:rFonts w:ascii="Tahoma" w:hAnsi="Tahoma" w:cs="Tahoma"/>
          <w:sz w:val="22"/>
          <w:szCs w:val="22"/>
        </w:rPr>
        <w:t xml:space="preserve"> деце ПВО у Смедеревско</w:t>
      </w:r>
      <w:r w:rsidR="002331CC">
        <w:rPr>
          <w:rFonts w:ascii="Tahoma" w:hAnsi="Tahoma" w:cs="Tahoma"/>
          <w:sz w:val="22"/>
          <w:szCs w:val="22"/>
        </w:rPr>
        <w:t>j</w:t>
      </w:r>
      <w:r w:rsidR="002A111A" w:rsidRPr="001B395D">
        <w:rPr>
          <w:rFonts w:ascii="Tahoma" w:hAnsi="Tahoma" w:cs="Tahoma"/>
          <w:sz w:val="22"/>
          <w:szCs w:val="22"/>
        </w:rPr>
        <w:t xml:space="preserve"> Паланци </w:t>
      </w:r>
      <w:r w:rsidR="002331CC">
        <w:rPr>
          <w:rFonts w:ascii="Tahoma" w:hAnsi="Tahoma" w:cs="Tahoma"/>
          <w:sz w:val="22"/>
          <w:szCs w:val="22"/>
        </w:rPr>
        <w:t xml:space="preserve">је </w:t>
      </w:r>
      <w:r w:rsidR="00B406FE" w:rsidRPr="001B395D">
        <w:rPr>
          <w:rFonts w:ascii="Tahoma" w:hAnsi="Tahoma" w:cs="Tahoma"/>
          <w:sz w:val="22"/>
          <w:szCs w:val="22"/>
        </w:rPr>
        <w:t xml:space="preserve">компаративно </w:t>
      </w:r>
      <w:r w:rsidR="002A111A" w:rsidRPr="001B395D">
        <w:rPr>
          <w:rFonts w:ascii="Tahoma" w:hAnsi="Tahoma" w:cs="Tahoma"/>
          <w:sz w:val="22"/>
          <w:szCs w:val="22"/>
        </w:rPr>
        <w:t>релативно висок имајући у виду неразвијеност општине</w:t>
      </w:r>
      <w:r w:rsidR="008E48AC">
        <w:rPr>
          <w:rFonts w:ascii="Tahoma" w:hAnsi="Tahoma" w:cs="Tahoma"/>
          <w:sz w:val="22"/>
          <w:szCs w:val="22"/>
        </w:rPr>
        <w:t xml:space="preserve"> </w:t>
      </w:r>
      <w:r w:rsidR="00B406FE" w:rsidRPr="001B395D">
        <w:rPr>
          <w:rFonts w:ascii="Tahoma" w:hAnsi="Tahoma" w:cs="Tahoma"/>
          <w:sz w:val="22"/>
          <w:szCs w:val="22"/>
        </w:rPr>
        <w:t>и упоређењ</w:t>
      </w:r>
      <w:r w:rsidR="001440CB" w:rsidRPr="001B395D">
        <w:rPr>
          <w:rFonts w:ascii="Tahoma" w:hAnsi="Tahoma" w:cs="Tahoma"/>
          <w:sz w:val="22"/>
          <w:szCs w:val="22"/>
        </w:rPr>
        <w:t>у</w:t>
      </w:r>
      <w:r w:rsidR="00B406FE" w:rsidRPr="001B395D">
        <w:rPr>
          <w:rFonts w:ascii="Tahoma" w:hAnsi="Tahoma" w:cs="Tahoma"/>
          <w:sz w:val="22"/>
          <w:szCs w:val="22"/>
        </w:rPr>
        <w:t xml:space="preserve"> са</w:t>
      </w:r>
      <w:r w:rsidR="002A111A" w:rsidRPr="001B395D">
        <w:rPr>
          <w:rFonts w:ascii="Tahoma" w:hAnsi="Tahoma" w:cs="Tahoma"/>
          <w:sz w:val="22"/>
          <w:szCs w:val="22"/>
        </w:rPr>
        <w:t xml:space="preserve"> просек</w:t>
      </w:r>
      <w:r w:rsidR="00B406FE" w:rsidRPr="001B395D">
        <w:rPr>
          <w:rFonts w:ascii="Tahoma" w:hAnsi="Tahoma" w:cs="Tahoma"/>
          <w:sz w:val="22"/>
          <w:szCs w:val="22"/>
        </w:rPr>
        <w:t>ом</w:t>
      </w:r>
      <w:r w:rsidR="002A111A" w:rsidRPr="001B395D">
        <w:rPr>
          <w:rFonts w:ascii="Tahoma" w:hAnsi="Tahoma" w:cs="Tahoma"/>
          <w:sz w:val="22"/>
          <w:szCs w:val="22"/>
        </w:rPr>
        <w:t xml:space="preserve"> подручј</w:t>
      </w:r>
      <w:r w:rsidR="00B406FE" w:rsidRPr="001B395D">
        <w:rPr>
          <w:rFonts w:ascii="Tahoma" w:hAnsi="Tahoma" w:cs="Tahoma"/>
          <w:sz w:val="22"/>
          <w:szCs w:val="22"/>
        </w:rPr>
        <w:t>а</w:t>
      </w:r>
      <w:r w:rsidR="002A111A" w:rsidRPr="001B395D">
        <w:rPr>
          <w:rFonts w:ascii="Tahoma" w:hAnsi="Tahoma" w:cs="Tahoma"/>
          <w:sz w:val="22"/>
          <w:szCs w:val="22"/>
        </w:rPr>
        <w:t xml:space="preserve"> Србија-Југ</w:t>
      </w:r>
      <w:r w:rsidR="00B406FE" w:rsidRPr="001B395D">
        <w:rPr>
          <w:rFonts w:ascii="Tahoma" w:hAnsi="Tahoma" w:cs="Tahoma"/>
          <w:sz w:val="22"/>
          <w:szCs w:val="22"/>
        </w:rPr>
        <w:t xml:space="preserve"> и</w:t>
      </w:r>
      <w:r w:rsidR="008E48AC">
        <w:rPr>
          <w:rFonts w:ascii="Tahoma" w:hAnsi="Tahoma" w:cs="Tahoma"/>
          <w:sz w:val="22"/>
          <w:szCs w:val="22"/>
        </w:rPr>
        <w:t xml:space="preserve"> </w:t>
      </w:r>
      <w:r w:rsidR="00B406FE" w:rsidRPr="001B395D">
        <w:rPr>
          <w:rFonts w:ascii="Tahoma" w:hAnsi="Tahoma" w:cs="Tahoma"/>
          <w:sz w:val="22"/>
          <w:szCs w:val="22"/>
        </w:rPr>
        <w:t>Подунавске</w:t>
      </w:r>
      <w:r w:rsidR="002A111A" w:rsidRPr="001B395D">
        <w:rPr>
          <w:rFonts w:ascii="Tahoma" w:hAnsi="Tahoma" w:cs="Tahoma"/>
          <w:sz w:val="22"/>
          <w:szCs w:val="22"/>
        </w:rPr>
        <w:t xml:space="preserve"> област</w:t>
      </w:r>
      <w:r w:rsidR="00B406FE" w:rsidRPr="001B395D">
        <w:rPr>
          <w:rFonts w:ascii="Tahoma" w:hAnsi="Tahoma" w:cs="Tahoma"/>
          <w:sz w:val="22"/>
          <w:szCs w:val="22"/>
        </w:rPr>
        <w:t>и где Смедеревска Паланка</w:t>
      </w:r>
      <w:r w:rsidR="002A111A" w:rsidRPr="001B395D">
        <w:rPr>
          <w:rFonts w:ascii="Tahoma" w:hAnsi="Tahoma" w:cs="Tahoma"/>
          <w:sz w:val="22"/>
          <w:szCs w:val="22"/>
        </w:rPr>
        <w:t xml:space="preserve"> припада. Међутим, када обухват поредимо са националним циљевима за 2030. годину </w:t>
      </w:r>
      <w:r w:rsidR="001440CB" w:rsidRPr="001B395D">
        <w:rPr>
          <w:rFonts w:ascii="Tahoma" w:hAnsi="Tahoma" w:cs="Tahoma"/>
          <w:sz w:val="22"/>
          <w:szCs w:val="22"/>
        </w:rPr>
        <w:t xml:space="preserve">по којима 75% деце вртићког узраста треба да буде обухваћено ПВО, </w:t>
      </w:r>
      <w:r w:rsidR="002A111A" w:rsidRPr="001B395D">
        <w:rPr>
          <w:rFonts w:ascii="Tahoma" w:hAnsi="Tahoma" w:cs="Tahoma"/>
          <w:sz w:val="22"/>
          <w:szCs w:val="22"/>
        </w:rPr>
        <w:t xml:space="preserve">он је прилично низак, те постоји доста простора за даље унапређење обухвата обзиром да је то у најбољем интересу детета. </w:t>
      </w:r>
      <w:r w:rsidR="00B406FE" w:rsidRPr="001B395D">
        <w:rPr>
          <w:rFonts w:ascii="Tahoma" w:hAnsi="Tahoma" w:cs="Tahoma"/>
          <w:sz w:val="22"/>
          <w:szCs w:val="22"/>
        </w:rPr>
        <w:t xml:space="preserve">Поред тога, расходи за ПВО у буџету су јако високи те када ставимо у однос обухват и расходе онда је закључак да обухват није задовољавајући. </w:t>
      </w:r>
    </w:p>
    <w:p w:rsidR="003E47D3" w:rsidRPr="001B395D" w:rsidRDefault="00F55758" w:rsidP="002A111A">
      <w:pPr>
        <w:spacing w:after="160" w:line="259" w:lineRule="auto"/>
        <w:jc w:val="both"/>
        <w:rPr>
          <w:rFonts w:ascii="Tahoma" w:hAnsi="Tahoma" w:cs="Tahoma"/>
          <w:sz w:val="22"/>
          <w:szCs w:val="22"/>
        </w:rPr>
      </w:pPr>
      <w:r w:rsidRPr="001B395D">
        <w:rPr>
          <w:rFonts w:ascii="Tahoma" w:hAnsi="Tahoma" w:cs="Tahoma"/>
          <w:color w:val="000000" w:themeColor="text1"/>
          <w:sz w:val="22"/>
          <w:szCs w:val="22"/>
        </w:rPr>
        <w:t>Капацитети ПВО у односу на исказану тражњу делују довољно обзиром да</w:t>
      </w:r>
      <w:r w:rsidRPr="001B395D">
        <w:rPr>
          <w:rFonts w:ascii="Tahoma" w:hAnsi="Tahoma" w:cs="Tahoma"/>
          <w:sz w:val="22"/>
          <w:szCs w:val="22"/>
        </w:rPr>
        <w:t xml:space="preserve"> нема уписаних преко капацитета и деце која нису примљена. Међутим, према Елаборату јавних ПУ и ОШ, подаци и даље указују на то да су потребе породица за смештајем деце у целодневни боравак изнад капацитета и да је искоришћена је законска могућност до 20% већег броја деце у групи. Дакле повећање капацитета </w:t>
      </w:r>
      <w:r w:rsidR="00E012A8" w:rsidRPr="001B395D">
        <w:rPr>
          <w:rFonts w:ascii="Tahoma" w:hAnsi="Tahoma" w:cs="Tahoma"/>
          <w:sz w:val="22"/>
          <w:szCs w:val="22"/>
        </w:rPr>
        <w:t>је пот</w:t>
      </w:r>
      <w:r w:rsidR="003E47D3" w:rsidRPr="001B395D">
        <w:rPr>
          <w:rFonts w:ascii="Tahoma" w:hAnsi="Tahoma" w:cs="Tahoma"/>
          <w:sz w:val="22"/>
          <w:szCs w:val="22"/>
        </w:rPr>
        <w:t>ребно пре свега да се задовољи исказана тражња а да то</w:t>
      </w:r>
      <w:r w:rsidRPr="001B395D">
        <w:rPr>
          <w:rFonts w:ascii="Tahoma" w:hAnsi="Tahoma" w:cs="Tahoma"/>
          <w:sz w:val="22"/>
          <w:szCs w:val="22"/>
        </w:rPr>
        <w:t xml:space="preserve"> не иде на уштрб квалитета </w:t>
      </w:r>
      <w:r w:rsidR="003E47D3" w:rsidRPr="001B395D">
        <w:rPr>
          <w:rFonts w:ascii="Tahoma" w:hAnsi="Tahoma" w:cs="Tahoma"/>
          <w:sz w:val="22"/>
          <w:szCs w:val="22"/>
        </w:rPr>
        <w:t xml:space="preserve">програма. </w:t>
      </w:r>
    </w:p>
    <w:p w:rsidR="00491A4F" w:rsidRPr="001B395D" w:rsidRDefault="003E47D3" w:rsidP="002A111A">
      <w:pPr>
        <w:spacing w:after="160" w:line="259" w:lineRule="auto"/>
        <w:jc w:val="both"/>
        <w:rPr>
          <w:rFonts w:ascii="Tahoma" w:hAnsi="Tahoma" w:cs="Tahoma"/>
          <w:sz w:val="22"/>
          <w:szCs w:val="22"/>
        </w:rPr>
      </w:pPr>
      <w:r w:rsidRPr="001B395D">
        <w:rPr>
          <w:rFonts w:ascii="Tahoma" w:hAnsi="Tahoma" w:cs="Tahoma"/>
          <w:sz w:val="22"/>
          <w:szCs w:val="22"/>
        </w:rPr>
        <w:t xml:space="preserve">Поред тога, обзиром да је похађање ПВО у најбољем интересу детета, потребно је и повећати тражњу. </w:t>
      </w:r>
      <w:r w:rsidR="00F55758" w:rsidRPr="001B395D">
        <w:rPr>
          <w:rFonts w:ascii="Tahoma" w:hAnsi="Tahoma" w:cs="Tahoma"/>
          <w:color w:val="000000" w:themeColor="text1"/>
          <w:sz w:val="22"/>
          <w:szCs w:val="22"/>
        </w:rPr>
        <w:t>Тражња која није исказана може бити из разлога да родитељи знају да не задовољавају критеријуме (рецимо нису обоје запослени) или просто се преципира вртић искључиво као програм за чување деце. Стога је</w:t>
      </w:r>
      <w:r w:rsidR="002A111A" w:rsidRPr="001B395D">
        <w:rPr>
          <w:rFonts w:ascii="Tahoma" w:hAnsi="Tahoma" w:cs="Tahoma"/>
          <w:color w:val="000000" w:themeColor="text1"/>
          <w:sz w:val="22"/>
          <w:szCs w:val="22"/>
        </w:rPr>
        <w:t xml:space="preserve"> у циљу повећања обухвата потребно радити</w:t>
      </w:r>
      <w:r w:rsidR="00F55758" w:rsidRPr="001B395D">
        <w:rPr>
          <w:rFonts w:ascii="Tahoma" w:hAnsi="Tahoma" w:cs="Tahoma"/>
          <w:color w:val="000000" w:themeColor="text1"/>
          <w:sz w:val="22"/>
          <w:szCs w:val="22"/>
        </w:rPr>
        <w:t xml:space="preserve"> и</w:t>
      </w:r>
      <w:r w:rsidR="002A111A" w:rsidRPr="001B395D">
        <w:rPr>
          <w:rFonts w:ascii="Tahoma" w:hAnsi="Tahoma" w:cs="Tahoma"/>
          <w:color w:val="000000" w:themeColor="text1"/>
          <w:sz w:val="22"/>
          <w:szCs w:val="22"/>
        </w:rPr>
        <w:t xml:space="preserve"> на кампањи подизања свести о важности ПВО а у исто време понудити полудневне или друге флексибилне програме којима примарни циљ није чување деце већ васпитно образовна улога ПВО и укључивању деце у друштвену заједницу. </w:t>
      </w:r>
    </w:p>
    <w:p w:rsidR="009A6737" w:rsidRPr="001B395D" w:rsidRDefault="00F55758" w:rsidP="002A111A">
      <w:pPr>
        <w:spacing w:after="160" w:line="259" w:lineRule="auto"/>
        <w:jc w:val="both"/>
        <w:rPr>
          <w:rFonts w:ascii="Tahoma" w:hAnsi="Tahoma" w:cs="Tahoma"/>
          <w:sz w:val="22"/>
          <w:szCs w:val="22"/>
        </w:rPr>
      </w:pPr>
      <w:r w:rsidRPr="001B395D">
        <w:rPr>
          <w:rFonts w:ascii="Tahoma" w:hAnsi="Tahoma" w:cs="Tahoma"/>
          <w:sz w:val="22"/>
          <w:szCs w:val="22"/>
        </w:rPr>
        <w:t>Сада у</w:t>
      </w:r>
      <w:r w:rsidR="002A111A" w:rsidRPr="001B395D">
        <w:rPr>
          <w:rFonts w:ascii="Tahoma" w:hAnsi="Tahoma" w:cs="Tahoma"/>
          <w:sz w:val="22"/>
          <w:szCs w:val="22"/>
        </w:rPr>
        <w:t xml:space="preserve">понуди ПВО доминира класичан целодневни програма али </w:t>
      </w:r>
      <w:r w:rsidR="003E47D3" w:rsidRPr="001B395D">
        <w:rPr>
          <w:rFonts w:ascii="Tahoma" w:hAnsi="Tahoma" w:cs="Tahoma"/>
          <w:sz w:val="22"/>
          <w:szCs w:val="22"/>
        </w:rPr>
        <w:t xml:space="preserve">поред полудневног ППП </w:t>
      </w:r>
      <w:r w:rsidR="002A111A" w:rsidRPr="001B395D">
        <w:rPr>
          <w:rFonts w:ascii="Tahoma" w:hAnsi="Tahoma" w:cs="Tahoma"/>
          <w:sz w:val="22"/>
          <w:szCs w:val="22"/>
        </w:rPr>
        <w:t xml:space="preserve">постоји </w:t>
      </w:r>
      <w:r w:rsidR="003E47D3" w:rsidRPr="001B395D">
        <w:rPr>
          <w:rFonts w:ascii="Tahoma" w:hAnsi="Tahoma" w:cs="Tahoma"/>
          <w:sz w:val="22"/>
          <w:szCs w:val="22"/>
        </w:rPr>
        <w:t xml:space="preserve">и </w:t>
      </w:r>
      <w:r w:rsidR="002A111A" w:rsidRPr="001B395D">
        <w:rPr>
          <w:rFonts w:ascii="Tahoma" w:hAnsi="Tahoma" w:cs="Tahoma"/>
          <w:sz w:val="22"/>
          <w:szCs w:val="22"/>
        </w:rPr>
        <w:t xml:space="preserve">понуда </w:t>
      </w:r>
      <w:r w:rsidR="003E47D3" w:rsidRPr="001B395D">
        <w:rPr>
          <w:rFonts w:ascii="Tahoma" w:hAnsi="Tahoma" w:cs="Tahoma"/>
          <w:sz w:val="22"/>
          <w:szCs w:val="22"/>
        </w:rPr>
        <w:t xml:space="preserve">диверсификованог програма ''Иницијативе за подршку развоју и учењу ромске деце раног узраста у Србији'' у који су осим деце ромске заједнице укључена и деца других ускраћених група. </w:t>
      </w:r>
    </w:p>
    <w:p w:rsidR="002A111A" w:rsidRPr="001B395D" w:rsidRDefault="002A111A" w:rsidP="002A111A">
      <w:pPr>
        <w:spacing w:after="160" w:line="259" w:lineRule="auto"/>
        <w:jc w:val="both"/>
        <w:rPr>
          <w:rFonts w:ascii="Tahoma" w:hAnsi="Tahoma" w:cs="Tahoma"/>
          <w:sz w:val="22"/>
          <w:szCs w:val="22"/>
        </w:rPr>
      </w:pPr>
      <w:r w:rsidRPr="001B395D">
        <w:rPr>
          <w:rFonts w:ascii="Tahoma" w:hAnsi="Tahoma" w:cs="Tahoma"/>
          <w:sz w:val="22"/>
          <w:szCs w:val="22"/>
        </w:rPr>
        <w:t>ЈЛС би требало да понуди још кратких програма од по неколико сати или неколико пута недељно, којима примарни циљ није чување деце</w:t>
      </w:r>
      <w:r w:rsidR="009A6737" w:rsidRPr="001B395D">
        <w:rPr>
          <w:rFonts w:ascii="Tahoma" w:hAnsi="Tahoma" w:cs="Tahoma"/>
          <w:sz w:val="22"/>
          <w:szCs w:val="22"/>
        </w:rPr>
        <w:t xml:space="preserve"> већ образовно-васпитна улога и укључивање деце у друштвену заједницу</w:t>
      </w:r>
      <w:r w:rsidRPr="001B395D">
        <w:rPr>
          <w:rFonts w:ascii="Tahoma" w:hAnsi="Tahoma" w:cs="Tahoma"/>
          <w:sz w:val="22"/>
          <w:szCs w:val="22"/>
        </w:rPr>
        <w:t xml:space="preserve">. Овакве програме, посебно ако не подразумевају оброке, би требало у потпуности да финансира ЈЛС. У </w:t>
      </w:r>
      <w:r w:rsidR="003E47D3" w:rsidRPr="001B395D">
        <w:rPr>
          <w:rFonts w:ascii="Tahoma" w:hAnsi="Tahoma" w:cs="Tahoma"/>
          <w:sz w:val="22"/>
          <w:szCs w:val="22"/>
        </w:rPr>
        <w:t>сеоским (осталим)</w:t>
      </w:r>
      <w:r w:rsidRPr="001B395D">
        <w:rPr>
          <w:rFonts w:ascii="Tahoma" w:hAnsi="Tahoma" w:cs="Tahoma"/>
          <w:sz w:val="22"/>
          <w:szCs w:val="22"/>
        </w:rPr>
        <w:t xml:space="preserve"> насељима, подручна одељења школа која су полупразна и у које општина свакако улаже и одржава их, могу се користити као просторни капацитети за организацију краћих ПВО програма, по сличном принципу како се ови капацитети користе за обавезни ППП. </w:t>
      </w:r>
    </w:p>
    <w:p w:rsidR="00F55758" w:rsidRPr="001B395D" w:rsidRDefault="00F55758" w:rsidP="002A111A">
      <w:pPr>
        <w:spacing w:after="160" w:line="259" w:lineRule="auto"/>
        <w:jc w:val="both"/>
        <w:rPr>
          <w:rFonts w:ascii="Tahoma" w:hAnsi="Tahoma" w:cs="Tahoma"/>
          <w:color w:val="000000" w:themeColor="text1"/>
          <w:sz w:val="22"/>
          <w:szCs w:val="22"/>
        </w:rPr>
      </w:pPr>
      <w:r w:rsidRPr="001B395D">
        <w:rPr>
          <w:rFonts w:ascii="Tahoma" w:hAnsi="Tahoma" w:cs="Tahoma"/>
          <w:color w:val="000000" w:themeColor="text1"/>
          <w:sz w:val="22"/>
          <w:szCs w:val="22"/>
        </w:rPr>
        <w:t>Овакав приступ је већ јако добро препознат у Елаборату</w:t>
      </w:r>
      <w:r w:rsidR="009A6737" w:rsidRPr="001B395D">
        <w:rPr>
          <w:rFonts w:ascii="Tahoma" w:hAnsi="Tahoma" w:cs="Tahoma"/>
          <w:color w:val="000000" w:themeColor="text1"/>
          <w:sz w:val="22"/>
          <w:szCs w:val="22"/>
        </w:rPr>
        <w:t xml:space="preserve"> јавних предшколских установа и јавних основних школа на територији општине Смедеревска Паланка, који је ЈЛС израдила 2019. године. У њему се препознаје значај ПВО за децу и </w:t>
      </w:r>
      <w:r w:rsidRPr="001B395D">
        <w:rPr>
          <w:rFonts w:ascii="Tahoma" w:hAnsi="Tahoma" w:cs="Tahoma"/>
          <w:color w:val="000000" w:themeColor="text1"/>
          <w:sz w:val="22"/>
          <w:szCs w:val="22"/>
        </w:rPr>
        <w:t xml:space="preserve">планира </w:t>
      </w:r>
      <w:r w:rsidR="009A6737" w:rsidRPr="001B395D">
        <w:rPr>
          <w:rFonts w:ascii="Tahoma" w:hAnsi="Tahoma" w:cs="Tahoma"/>
          <w:color w:val="000000" w:themeColor="text1"/>
          <w:sz w:val="22"/>
          <w:szCs w:val="22"/>
        </w:rPr>
        <w:t>”</w:t>
      </w:r>
      <w:r w:rsidRPr="001B395D">
        <w:rPr>
          <w:rFonts w:ascii="Tahoma" w:hAnsi="Tahoma" w:cs="Tahoma"/>
          <w:color w:val="000000" w:themeColor="text1"/>
          <w:sz w:val="22"/>
          <w:szCs w:val="22"/>
        </w:rPr>
        <w:t xml:space="preserve">повећање обухвата кроз диверсификован систем и друге програме који би се реализовали у свим градским </w:t>
      </w:r>
      <w:r w:rsidRPr="001B395D">
        <w:rPr>
          <w:rFonts w:ascii="Tahoma" w:hAnsi="Tahoma" w:cs="Tahoma"/>
          <w:color w:val="000000" w:themeColor="text1"/>
          <w:sz w:val="22"/>
          <w:szCs w:val="22"/>
        </w:rPr>
        <w:lastRenderedPageBreak/>
        <w:t xml:space="preserve">вртићима. Циљ је да свако да свако дете има могућност да минимално, у току бар једне године, бесплатно користи скраћене програме за подстицање развоја и предшколског васпитања и образовања, зависно од потреба породице и детета.Захваљујући већ развијеној мрежи објеката предшколске установе којом је покривена цела општина, и већ постојећем васпитно-образовном кадру, посебан приоритет у наредном периоду имаће рад на повећању обухвата деце предшколским васпитањем. Установа ће заједно са свим </w:t>
      </w:r>
      <w:r w:rsidR="009A6737" w:rsidRPr="001B395D">
        <w:rPr>
          <w:rFonts w:ascii="Tahoma" w:hAnsi="Tahoma" w:cs="Tahoma"/>
          <w:color w:val="000000" w:themeColor="text1"/>
          <w:sz w:val="22"/>
          <w:szCs w:val="22"/>
        </w:rPr>
        <w:t>релевантниминституцијама</w:t>
      </w:r>
      <w:r w:rsidRPr="001B395D">
        <w:rPr>
          <w:rFonts w:ascii="Tahoma" w:hAnsi="Tahoma" w:cs="Tahoma"/>
          <w:color w:val="000000" w:themeColor="text1"/>
          <w:sz w:val="22"/>
          <w:szCs w:val="22"/>
        </w:rPr>
        <w:t xml:space="preserve"> општине бити укључена у Кампању за обухват деце. За потребе реализације кампање биће формирана радна група и израђен оперативни план рада.У свим сеоским срединама, почев од радне 2019/20. године, користиће се сви постојећи адаптирани простори за укључивање деце од 3-5,5 година. Циљ је да кроз диверсификован систем буде повећан општи обухват деце од три године до почетка примене обавезног припремног предшколског програма. Да свако дете има могућност да минимално, у току бар једне године, бесплатно користи скраћене програме за подстицање развоја и предшколског васпитања и образовања, зависно од потреба породице и детета</w:t>
      </w:r>
      <w:r w:rsidR="009A6737" w:rsidRPr="001B395D">
        <w:rPr>
          <w:rFonts w:ascii="Tahoma" w:hAnsi="Tahoma" w:cs="Tahoma"/>
          <w:color w:val="000000" w:themeColor="text1"/>
          <w:sz w:val="22"/>
          <w:szCs w:val="22"/>
        </w:rPr>
        <w:t>.”</w:t>
      </w:r>
    </w:p>
    <w:p w:rsidR="002A111A" w:rsidRPr="001B395D" w:rsidRDefault="009A6737" w:rsidP="002A111A">
      <w:pPr>
        <w:spacing w:after="160" w:line="259" w:lineRule="auto"/>
        <w:jc w:val="both"/>
        <w:rPr>
          <w:rFonts w:ascii="Tahoma" w:hAnsi="Tahoma" w:cs="Tahoma"/>
          <w:sz w:val="22"/>
          <w:szCs w:val="22"/>
        </w:rPr>
      </w:pPr>
      <w:r w:rsidRPr="001B395D">
        <w:rPr>
          <w:rFonts w:ascii="Tahoma" w:hAnsi="Tahoma" w:cs="Tahoma"/>
          <w:sz w:val="22"/>
          <w:szCs w:val="22"/>
        </w:rPr>
        <w:t>Треба још додати да</w:t>
      </w:r>
      <w:r w:rsidR="002A111A" w:rsidRPr="001B395D">
        <w:rPr>
          <w:rFonts w:ascii="Tahoma" w:hAnsi="Tahoma" w:cs="Tahoma"/>
          <w:sz w:val="22"/>
          <w:szCs w:val="22"/>
        </w:rPr>
        <w:t xml:space="preserve"> за општину у којој не постоји </w:t>
      </w:r>
      <w:r w:rsidRPr="001B395D">
        <w:rPr>
          <w:rFonts w:ascii="Tahoma" w:hAnsi="Tahoma" w:cs="Tahoma"/>
          <w:sz w:val="22"/>
          <w:szCs w:val="22"/>
        </w:rPr>
        <w:t xml:space="preserve">изражен </w:t>
      </w:r>
      <w:r w:rsidR="002A111A" w:rsidRPr="001B395D">
        <w:rPr>
          <w:rFonts w:ascii="Tahoma" w:hAnsi="Tahoma" w:cs="Tahoma"/>
          <w:sz w:val="22"/>
          <w:szCs w:val="22"/>
        </w:rPr>
        <w:t>мањак капацитета у односу на тражњу, јако велики проценат родитеља плаћа пуну цену док остали не плаћају уопште, дакле нема регресирања партиципације, па и</w:t>
      </w:r>
      <w:r w:rsidR="002978D1">
        <w:rPr>
          <w:rFonts w:ascii="Tahoma" w:hAnsi="Tahoma" w:cs="Tahoma"/>
          <w:sz w:val="22"/>
          <w:szCs w:val="22"/>
        </w:rPr>
        <w:t xml:space="preserve"> у</w:t>
      </w:r>
      <w:r w:rsidR="002A111A" w:rsidRPr="001B395D">
        <w:rPr>
          <w:rFonts w:ascii="Tahoma" w:hAnsi="Tahoma" w:cs="Tahoma"/>
          <w:sz w:val="22"/>
          <w:szCs w:val="22"/>
        </w:rPr>
        <w:t xml:space="preserve"> том смислу треба разрадити опције за регресирање дела који финансирају родитељи у циљу повећања тражње за ПВО. </w:t>
      </w:r>
    </w:p>
    <w:p w:rsidR="00A7362E" w:rsidRPr="001B395D" w:rsidRDefault="009A6737" w:rsidP="00A7362E">
      <w:pPr>
        <w:spacing w:after="160" w:line="259" w:lineRule="auto"/>
        <w:jc w:val="both"/>
        <w:rPr>
          <w:rFonts w:ascii="Tahoma" w:hAnsi="Tahoma" w:cs="Tahoma"/>
          <w:sz w:val="22"/>
          <w:szCs w:val="22"/>
        </w:rPr>
      </w:pPr>
      <w:r w:rsidRPr="001B395D">
        <w:rPr>
          <w:rFonts w:ascii="Tahoma" w:hAnsi="Tahoma" w:cs="Tahoma"/>
          <w:sz w:val="22"/>
          <w:szCs w:val="22"/>
        </w:rPr>
        <w:t xml:space="preserve">Оно што је такође важно је преиспитати ефикасност уложених средстава у ПВО, обзиром да је однос учешћа расхода у укупном буџету и обухвата неповољан. </w:t>
      </w:r>
    </w:p>
    <w:sectPr w:rsidR="00A7362E" w:rsidRPr="001B395D" w:rsidSect="006E45F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283" w:rsidRDefault="005A3283" w:rsidP="00DB5D24">
      <w:r>
        <w:separator/>
      </w:r>
    </w:p>
  </w:endnote>
  <w:endnote w:type="continuationSeparator" w:id="0">
    <w:p w:rsidR="005A3283" w:rsidRDefault="005A3283" w:rsidP="00DB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Calibri"/>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0674987"/>
      <w:docPartObj>
        <w:docPartGallery w:val="Page Numbers (Bottom of Page)"/>
        <w:docPartUnique/>
      </w:docPartObj>
    </w:sdtPr>
    <w:sdtEndPr>
      <w:rPr>
        <w:rFonts w:ascii="Tahoma" w:hAnsi="Tahoma" w:cs="Tahoma"/>
        <w:b/>
        <w:bCs/>
        <w:noProof/>
        <w:color w:val="2F5496" w:themeColor="accent1" w:themeShade="BF"/>
        <w:sz w:val="20"/>
        <w:szCs w:val="20"/>
      </w:rPr>
    </w:sdtEndPr>
    <w:sdtContent>
      <w:p w:rsidR="00A52928" w:rsidRPr="002958E4" w:rsidRDefault="00B66793">
        <w:pPr>
          <w:pStyle w:val="Footer"/>
          <w:jc w:val="right"/>
          <w:rPr>
            <w:rFonts w:ascii="Tahoma" w:hAnsi="Tahoma" w:cs="Tahoma"/>
            <w:b/>
            <w:bCs/>
            <w:color w:val="2F5496" w:themeColor="accent1" w:themeShade="BF"/>
            <w:sz w:val="20"/>
            <w:szCs w:val="20"/>
          </w:rPr>
        </w:pPr>
        <w:r w:rsidRPr="002958E4">
          <w:rPr>
            <w:rFonts w:ascii="Tahoma" w:hAnsi="Tahoma" w:cs="Tahoma"/>
            <w:b/>
            <w:bCs/>
            <w:color w:val="2F5496" w:themeColor="accent1" w:themeShade="BF"/>
            <w:sz w:val="20"/>
            <w:szCs w:val="20"/>
          </w:rPr>
          <w:fldChar w:fldCharType="begin"/>
        </w:r>
        <w:r w:rsidR="00A52928" w:rsidRPr="002958E4">
          <w:rPr>
            <w:rFonts w:ascii="Tahoma" w:hAnsi="Tahoma" w:cs="Tahoma"/>
            <w:b/>
            <w:bCs/>
            <w:color w:val="2F5496" w:themeColor="accent1" w:themeShade="BF"/>
            <w:sz w:val="20"/>
            <w:szCs w:val="20"/>
          </w:rPr>
          <w:instrText xml:space="preserve"> PAGE   \* MERGEFORMAT </w:instrText>
        </w:r>
        <w:r w:rsidRPr="002958E4">
          <w:rPr>
            <w:rFonts w:ascii="Tahoma" w:hAnsi="Tahoma" w:cs="Tahoma"/>
            <w:b/>
            <w:bCs/>
            <w:color w:val="2F5496" w:themeColor="accent1" w:themeShade="BF"/>
            <w:sz w:val="20"/>
            <w:szCs w:val="20"/>
          </w:rPr>
          <w:fldChar w:fldCharType="separate"/>
        </w:r>
        <w:r w:rsidR="008E48AC">
          <w:rPr>
            <w:rFonts w:ascii="Tahoma" w:hAnsi="Tahoma" w:cs="Tahoma"/>
            <w:b/>
            <w:bCs/>
            <w:noProof/>
            <w:color w:val="2F5496" w:themeColor="accent1" w:themeShade="BF"/>
            <w:sz w:val="20"/>
            <w:szCs w:val="20"/>
          </w:rPr>
          <w:t>15</w:t>
        </w:r>
        <w:r w:rsidRPr="002958E4">
          <w:rPr>
            <w:rFonts w:ascii="Tahoma" w:hAnsi="Tahoma" w:cs="Tahoma"/>
            <w:b/>
            <w:bCs/>
            <w:noProof/>
            <w:color w:val="2F5496" w:themeColor="accent1" w:themeShade="BF"/>
            <w:sz w:val="20"/>
            <w:szCs w:val="20"/>
          </w:rPr>
          <w:fldChar w:fldCharType="end"/>
        </w:r>
      </w:p>
    </w:sdtContent>
  </w:sdt>
  <w:p w:rsidR="00A52928" w:rsidRDefault="00A52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283" w:rsidRDefault="005A3283" w:rsidP="00DB5D24">
      <w:r>
        <w:separator/>
      </w:r>
    </w:p>
  </w:footnote>
  <w:footnote w:type="continuationSeparator" w:id="0">
    <w:p w:rsidR="005A3283" w:rsidRDefault="005A3283" w:rsidP="00DB5D24">
      <w:r>
        <w:continuationSeparator/>
      </w:r>
    </w:p>
  </w:footnote>
  <w:footnote w:id="1">
    <w:p w:rsidR="00A52928" w:rsidRPr="00116DFD" w:rsidRDefault="00A52928" w:rsidP="005715A0">
      <w:pPr>
        <w:pStyle w:val="FootnoteText"/>
        <w:rPr>
          <w:rFonts w:ascii="Tahoma" w:hAnsi="Tahoma" w:cs="Tahoma"/>
          <w:sz w:val="18"/>
          <w:szCs w:val="18"/>
        </w:rPr>
      </w:pPr>
      <w:r w:rsidRPr="00116DFD">
        <w:rPr>
          <w:rStyle w:val="FootnoteReference"/>
          <w:rFonts w:ascii="Tahoma" w:hAnsi="Tahoma" w:cs="Tahoma"/>
          <w:sz w:val="18"/>
          <w:szCs w:val="18"/>
        </w:rPr>
        <w:footnoteRef/>
      </w:r>
      <w:r w:rsidRPr="00116DFD">
        <w:rPr>
          <w:rFonts w:ascii="Tahoma" w:hAnsi="Tahoma" w:cs="Tahoma"/>
          <w:sz w:val="18"/>
          <w:szCs w:val="18"/>
        </w:rPr>
        <w:t xml:space="preserve"> Надлежност финансирања образовања је оквирно регулисана Законом о основама система образовања и васпитања (ЗОСОВ), “Службени гласник РС” бр. 88/2017, 27/2018 - др. закон, 10/2019, 27/2018 - др. закон и 6/2020)</w:t>
      </w:r>
      <w:r>
        <w:rPr>
          <w:rFonts w:ascii="Tahoma" w:hAnsi="Tahoma" w:cs="Tahoma"/>
          <w:sz w:val="18"/>
          <w:szCs w:val="18"/>
        </w:rPr>
        <w:t>.</w:t>
      </w:r>
    </w:p>
  </w:footnote>
  <w:footnote w:id="2">
    <w:p w:rsidR="00A52928" w:rsidRPr="00116DFD" w:rsidRDefault="00A52928" w:rsidP="005715A0">
      <w:pPr>
        <w:jc w:val="both"/>
        <w:rPr>
          <w:rFonts w:ascii="Tahoma" w:hAnsi="Tahoma" w:cs="Tahoma"/>
          <w:sz w:val="18"/>
          <w:szCs w:val="18"/>
        </w:rPr>
      </w:pPr>
      <w:r w:rsidRPr="00116DFD">
        <w:rPr>
          <w:rStyle w:val="FootnoteReference"/>
          <w:rFonts w:ascii="Tahoma" w:hAnsi="Tahoma" w:cs="Tahoma"/>
          <w:sz w:val="18"/>
          <w:szCs w:val="18"/>
        </w:rPr>
        <w:footnoteRef/>
      </w:r>
      <w:r w:rsidRPr="00116DFD">
        <w:rPr>
          <w:rFonts w:ascii="Tahoma" w:hAnsi="Tahoma" w:cs="Tahoma"/>
          <w:sz w:val="18"/>
          <w:szCs w:val="18"/>
        </w:rPr>
        <w:t>Члан 108. ЗОСОВ уређује одговорност установе за безбедност деце и ученика, односно да установа доноси акт којим прописује мере, начин и поступак заштите и безбедности деце и ученика за време боравка у установи и свих активности које организује установа, у сарадњи са надлежним органом ЈЛС, које је дужна да спроводи.</w:t>
      </w:r>
    </w:p>
  </w:footnote>
  <w:footnote w:id="3">
    <w:p w:rsidR="00A52928" w:rsidRPr="00116DFD" w:rsidRDefault="00A52928" w:rsidP="005715A0">
      <w:pPr>
        <w:pStyle w:val="FootnoteText"/>
        <w:rPr>
          <w:rFonts w:ascii="Tahoma" w:hAnsi="Tahoma" w:cs="Tahoma"/>
          <w:sz w:val="18"/>
          <w:szCs w:val="18"/>
        </w:rPr>
      </w:pPr>
      <w:r w:rsidRPr="00116DFD">
        <w:rPr>
          <w:rStyle w:val="FootnoteReference"/>
          <w:rFonts w:ascii="Tahoma" w:hAnsi="Tahoma" w:cs="Tahoma"/>
          <w:sz w:val="18"/>
          <w:szCs w:val="18"/>
        </w:rPr>
        <w:footnoteRef/>
      </w:r>
      <w:r w:rsidRPr="00116DFD">
        <w:rPr>
          <w:rFonts w:ascii="Tahoma" w:hAnsi="Tahoma" w:cs="Tahoma"/>
          <w:sz w:val="18"/>
          <w:szCs w:val="18"/>
        </w:rPr>
        <w:t xml:space="preserve"> Члан 50. Закона о предшколском васпитању и образовању</w:t>
      </w:r>
      <w:r>
        <w:rPr>
          <w:rFonts w:ascii="Tahoma" w:hAnsi="Tahoma" w:cs="Tahoma"/>
          <w:sz w:val="18"/>
          <w:szCs w:val="18"/>
        </w:rPr>
        <w:t>.</w:t>
      </w:r>
    </w:p>
  </w:footnote>
  <w:footnote w:id="4">
    <w:p w:rsidR="00A52928" w:rsidRPr="00116DFD" w:rsidRDefault="00A52928" w:rsidP="005715A0">
      <w:pPr>
        <w:pStyle w:val="FootnoteText"/>
        <w:rPr>
          <w:rFonts w:ascii="Tahoma" w:hAnsi="Tahoma" w:cs="Tahoma"/>
          <w:sz w:val="18"/>
          <w:szCs w:val="18"/>
          <w:lang w:val="hr-HR"/>
        </w:rPr>
      </w:pPr>
      <w:r w:rsidRPr="00116DFD">
        <w:rPr>
          <w:rStyle w:val="FootnoteReference"/>
          <w:rFonts w:ascii="Tahoma" w:hAnsi="Tahoma" w:cs="Tahoma"/>
          <w:sz w:val="18"/>
          <w:szCs w:val="18"/>
        </w:rPr>
        <w:footnoteRef/>
      </w:r>
      <w:r>
        <w:rPr>
          <w:rFonts w:ascii="Tahoma" w:hAnsi="Tahoma" w:cs="Tahoma"/>
          <w:sz w:val="18"/>
          <w:szCs w:val="18"/>
        </w:rPr>
        <w:t>„</w:t>
      </w:r>
      <w:r w:rsidRPr="00116DFD">
        <w:rPr>
          <w:rFonts w:ascii="Tahoma" w:hAnsi="Tahoma" w:cs="Tahoma"/>
          <w:sz w:val="18"/>
          <w:szCs w:val="18"/>
        </w:rPr>
        <w:t>Службени гласник РС", бр. 73 од 31. августа 2016, 45 од 13. јуна 2018.</w:t>
      </w:r>
    </w:p>
  </w:footnote>
  <w:footnote w:id="5">
    <w:p w:rsidR="00A52928" w:rsidRPr="004F30DE" w:rsidRDefault="00A52928" w:rsidP="00746BB3">
      <w:pPr>
        <w:pStyle w:val="FootnoteText"/>
        <w:jc w:val="both"/>
        <w:rPr>
          <w:rFonts w:ascii="Tahoma" w:hAnsi="Tahoma" w:cs="Tahoma"/>
          <w:sz w:val="18"/>
          <w:szCs w:val="18"/>
        </w:rPr>
      </w:pPr>
      <w:r w:rsidRPr="00746BB3">
        <w:rPr>
          <w:rStyle w:val="FootnoteReference"/>
          <w:rFonts w:ascii="Tahoma" w:hAnsi="Tahoma" w:cs="Tahoma"/>
          <w:sz w:val="18"/>
          <w:szCs w:val="18"/>
        </w:rPr>
        <w:footnoteRef/>
      </w:r>
      <w:r w:rsidRPr="00746BB3">
        <w:rPr>
          <w:rFonts w:ascii="Tahoma" w:hAnsi="Tahoma" w:cs="Tahoma"/>
          <w:sz w:val="18"/>
          <w:szCs w:val="18"/>
        </w:rPr>
        <w:t>ПРАВИЛНИКододатнојобразовној</w:t>
      </w:r>
      <w:r w:rsidRPr="00746BB3">
        <w:rPr>
          <w:rFonts w:ascii="Tahoma" w:hAnsi="Tahoma" w:cs="Tahoma"/>
          <w:sz w:val="18"/>
          <w:szCs w:val="18"/>
          <w:lang w:val="hr-HR"/>
        </w:rPr>
        <w:t xml:space="preserve">, </w:t>
      </w:r>
      <w:r w:rsidRPr="00746BB3">
        <w:rPr>
          <w:rFonts w:ascii="Tahoma" w:hAnsi="Tahoma" w:cs="Tahoma"/>
          <w:sz w:val="18"/>
          <w:szCs w:val="18"/>
        </w:rPr>
        <w:t>здравственојисоцијалнојподршцидетету</w:t>
      </w:r>
      <w:r w:rsidRPr="00746BB3">
        <w:rPr>
          <w:rFonts w:ascii="Tahoma" w:hAnsi="Tahoma" w:cs="Tahoma"/>
          <w:sz w:val="18"/>
          <w:szCs w:val="18"/>
          <w:lang w:val="hr-HR"/>
        </w:rPr>
        <w:t xml:space="preserve">, </w:t>
      </w:r>
      <w:r w:rsidRPr="00746BB3">
        <w:rPr>
          <w:rFonts w:ascii="Tahoma" w:hAnsi="Tahoma" w:cs="Tahoma"/>
          <w:sz w:val="18"/>
          <w:szCs w:val="18"/>
        </w:rPr>
        <w:t>ученикуиодраслом</w:t>
      </w:r>
      <w:r w:rsidRPr="00746BB3">
        <w:rPr>
          <w:rFonts w:ascii="Tahoma" w:hAnsi="Tahoma" w:cs="Tahoma"/>
          <w:sz w:val="18"/>
          <w:szCs w:val="18"/>
          <w:lang w:val="hr-HR"/>
        </w:rPr>
        <w:t xml:space="preserve"> "</w:t>
      </w:r>
      <w:r w:rsidRPr="00746BB3">
        <w:rPr>
          <w:rFonts w:ascii="Tahoma" w:hAnsi="Tahoma" w:cs="Tahoma"/>
          <w:sz w:val="18"/>
          <w:szCs w:val="18"/>
        </w:rPr>
        <w:t>СлужбенигласникРС</w:t>
      </w:r>
      <w:r w:rsidRPr="00746BB3">
        <w:rPr>
          <w:rFonts w:ascii="Tahoma" w:hAnsi="Tahoma" w:cs="Tahoma"/>
          <w:sz w:val="18"/>
          <w:szCs w:val="18"/>
          <w:lang w:val="hr-HR"/>
        </w:rPr>
        <w:t xml:space="preserve">", </w:t>
      </w:r>
      <w:r w:rsidRPr="00746BB3">
        <w:rPr>
          <w:rFonts w:ascii="Tahoma" w:hAnsi="Tahoma" w:cs="Tahoma"/>
          <w:sz w:val="18"/>
          <w:szCs w:val="18"/>
        </w:rPr>
        <w:t>број</w:t>
      </w:r>
      <w:r w:rsidRPr="00746BB3">
        <w:rPr>
          <w:rFonts w:ascii="Tahoma" w:hAnsi="Tahoma" w:cs="Tahoma"/>
          <w:sz w:val="18"/>
          <w:szCs w:val="18"/>
          <w:lang w:val="hr-HR"/>
        </w:rPr>
        <w:t xml:space="preserve"> 80 </w:t>
      </w:r>
      <w:r w:rsidRPr="00746BB3">
        <w:rPr>
          <w:rFonts w:ascii="Tahoma" w:hAnsi="Tahoma" w:cs="Tahoma"/>
          <w:sz w:val="18"/>
          <w:szCs w:val="18"/>
        </w:rPr>
        <w:t>од</w:t>
      </w:r>
      <w:r w:rsidRPr="00746BB3">
        <w:rPr>
          <w:rFonts w:ascii="Tahoma" w:hAnsi="Tahoma" w:cs="Tahoma"/>
          <w:sz w:val="18"/>
          <w:szCs w:val="18"/>
          <w:lang w:val="hr-HR"/>
        </w:rPr>
        <w:t xml:space="preserve"> 24. </w:t>
      </w:r>
      <w:r w:rsidRPr="00746BB3">
        <w:rPr>
          <w:rFonts w:ascii="Tahoma" w:hAnsi="Tahoma" w:cs="Tahoma"/>
          <w:sz w:val="18"/>
          <w:szCs w:val="18"/>
        </w:rPr>
        <w:t>октобра</w:t>
      </w:r>
      <w:r w:rsidRPr="00746BB3">
        <w:rPr>
          <w:rFonts w:ascii="Tahoma" w:hAnsi="Tahoma" w:cs="Tahoma"/>
          <w:sz w:val="18"/>
          <w:szCs w:val="18"/>
          <w:lang w:val="hr-HR"/>
        </w:rPr>
        <w:t xml:space="preserve"> 2018 </w:t>
      </w:r>
      <w:r w:rsidRPr="00746BB3">
        <w:rPr>
          <w:rFonts w:ascii="Tahoma" w:hAnsi="Tahoma" w:cs="Tahoma"/>
          <w:sz w:val="18"/>
          <w:szCs w:val="18"/>
        </w:rPr>
        <w:t>ближеодређујерадИРКИдодатнуподршку</w:t>
      </w:r>
      <w:r>
        <w:rPr>
          <w:rFonts w:ascii="Tahoma" w:hAnsi="Tahoma" w:cs="Tahoma"/>
          <w:sz w:val="18"/>
          <w:szCs w:val="18"/>
        </w:rPr>
        <w:t>.</w:t>
      </w:r>
    </w:p>
  </w:footnote>
  <w:footnote w:id="6">
    <w:p w:rsidR="00A52928" w:rsidRPr="004F30DE" w:rsidRDefault="00A52928" w:rsidP="00746BB3">
      <w:pPr>
        <w:pStyle w:val="FootnoteText"/>
        <w:jc w:val="both"/>
        <w:rPr>
          <w:rFonts w:ascii="Tahoma" w:hAnsi="Tahoma" w:cs="Tahoma"/>
          <w:sz w:val="18"/>
          <w:szCs w:val="18"/>
        </w:rPr>
      </w:pPr>
      <w:r w:rsidRPr="00746BB3">
        <w:rPr>
          <w:rStyle w:val="FootnoteReference"/>
          <w:rFonts w:ascii="Tahoma" w:hAnsi="Tahoma" w:cs="Tahoma"/>
          <w:sz w:val="18"/>
          <w:szCs w:val="18"/>
        </w:rPr>
        <w:footnoteRef/>
      </w:r>
      <w:r w:rsidRPr="00746BB3">
        <w:rPr>
          <w:rFonts w:ascii="Tahoma" w:hAnsi="Tahoma" w:cs="Tahoma"/>
          <w:sz w:val="18"/>
          <w:szCs w:val="18"/>
          <w:lang w:val="hr-HR"/>
        </w:rPr>
        <w:t xml:space="preserve"> Члан 190. ЗОСОВ регулише ову могућности</w:t>
      </w:r>
      <w:r>
        <w:rPr>
          <w:rFonts w:ascii="Tahoma" w:hAnsi="Tahoma" w:cs="Tahoma"/>
          <w:sz w:val="18"/>
          <w:szCs w:val="18"/>
        </w:rPr>
        <w:t>.</w:t>
      </w:r>
    </w:p>
  </w:footnote>
  <w:footnote w:id="7">
    <w:p w:rsidR="00A52928" w:rsidRPr="00746BB3" w:rsidRDefault="00A52928" w:rsidP="00746BB3">
      <w:pPr>
        <w:pStyle w:val="FootnoteText"/>
        <w:jc w:val="both"/>
        <w:rPr>
          <w:rFonts w:ascii="Tahoma" w:hAnsi="Tahoma" w:cs="Tahoma"/>
          <w:sz w:val="18"/>
          <w:szCs w:val="18"/>
        </w:rPr>
      </w:pPr>
      <w:r w:rsidRPr="00746BB3">
        <w:rPr>
          <w:rStyle w:val="FootnoteReference"/>
          <w:rFonts w:ascii="Tahoma" w:hAnsi="Tahoma" w:cs="Tahoma"/>
          <w:sz w:val="18"/>
          <w:szCs w:val="18"/>
        </w:rPr>
        <w:footnoteRef/>
      </w:r>
      <w:r w:rsidRPr="00746BB3">
        <w:rPr>
          <w:rFonts w:ascii="Tahoma" w:hAnsi="Tahoma" w:cs="Tahoma"/>
          <w:sz w:val="18"/>
          <w:szCs w:val="18"/>
        </w:rPr>
        <w:t xml:space="preserve"> Члан 17. ЗОСОВ уређује да ЈЛС води евиденцију и обавештава предшколску установу, односно основну школу која остварује припремни предшколски програм о деци која су стасала за похађање припремног предшколског програма, у складу са посебним законом.</w:t>
      </w:r>
    </w:p>
  </w:footnote>
  <w:footnote w:id="8">
    <w:p w:rsidR="00A52928" w:rsidRPr="00F9118E" w:rsidRDefault="00A52928" w:rsidP="00AB4D59">
      <w:pPr>
        <w:pStyle w:val="FootnoteText"/>
        <w:jc w:val="both"/>
        <w:rPr>
          <w:sz w:val="18"/>
          <w:szCs w:val="18"/>
        </w:rPr>
      </w:pPr>
      <w:r w:rsidRPr="00F9118E">
        <w:rPr>
          <w:rStyle w:val="FootnoteReference"/>
          <w:sz w:val="18"/>
          <w:szCs w:val="18"/>
        </w:rPr>
        <w:footnoteRef/>
      </w:r>
      <w:r w:rsidRPr="00F9118E">
        <w:rPr>
          <w:sz w:val="18"/>
          <w:szCs w:val="18"/>
        </w:rPr>
        <w:t xml:space="preserve">Стратегија је усвојена у јуну 2021. године </w:t>
      </w:r>
      <w:hyperlink r:id="rId1" w:history="1">
        <w:r w:rsidRPr="00F9118E">
          <w:rPr>
            <w:rStyle w:val="Hyperlink"/>
            <w:sz w:val="18"/>
            <w:szCs w:val="18"/>
          </w:rPr>
          <w:t>https://mpn.gov.rs/kategorija_dokumenata/strategije/</w:t>
        </w:r>
      </w:hyperlink>
    </w:p>
  </w:footnote>
  <w:footnote w:id="9">
    <w:p w:rsidR="00A52928" w:rsidRPr="00D6157A" w:rsidRDefault="00A52928" w:rsidP="00AB4D59">
      <w:pPr>
        <w:pStyle w:val="FootnoteText"/>
        <w:jc w:val="both"/>
        <w:rPr>
          <w:sz w:val="18"/>
          <w:szCs w:val="18"/>
        </w:rPr>
      </w:pPr>
      <w:r w:rsidRPr="00D6157A">
        <w:rPr>
          <w:rStyle w:val="FootnoteReference"/>
          <w:sz w:val="18"/>
          <w:szCs w:val="18"/>
        </w:rPr>
        <w:footnoteRef/>
      </w:r>
      <w:r w:rsidRPr="00D6157A">
        <w:rPr>
          <w:sz w:val="18"/>
          <w:szCs w:val="18"/>
        </w:rPr>
        <w:t xml:space="preserve">Ибид. </w:t>
      </w:r>
    </w:p>
  </w:footnote>
  <w:footnote w:id="10">
    <w:p w:rsidR="00A52928" w:rsidRDefault="00A52928" w:rsidP="00AB4D59">
      <w:pPr>
        <w:pStyle w:val="FootnoteText"/>
        <w:rPr>
          <w:sz w:val="18"/>
          <w:szCs w:val="18"/>
        </w:rPr>
      </w:pPr>
      <w:r w:rsidRPr="00D6157A">
        <w:rPr>
          <w:rStyle w:val="FootnoteReference"/>
          <w:sz w:val="18"/>
          <w:szCs w:val="18"/>
        </w:rPr>
        <w:footnoteRef/>
      </w:r>
      <w:r w:rsidRPr="00D6157A">
        <w:rPr>
          <w:sz w:val="18"/>
          <w:szCs w:val="18"/>
        </w:rPr>
        <w:t>Ибид, стр. 20</w:t>
      </w:r>
    </w:p>
    <w:p w:rsidR="00A52928" w:rsidRPr="00D6157A" w:rsidRDefault="00A52928" w:rsidP="00AB4D59">
      <w:pPr>
        <w:pStyle w:val="FootnoteText"/>
        <w:rPr>
          <w:sz w:val="18"/>
          <w:szCs w:val="18"/>
        </w:rPr>
      </w:pPr>
      <w:r>
        <w:rPr>
          <w:sz w:val="18"/>
          <w:szCs w:val="18"/>
        </w:rPr>
        <w:t xml:space="preserve">Ибид, стр. </w:t>
      </w:r>
    </w:p>
  </w:footnote>
  <w:footnote w:id="11">
    <w:p w:rsidR="00A52928" w:rsidRPr="001E5CCA" w:rsidRDefault="00A52928" w:rsidP="00AB4D59">
      <w:pPr>
        <w:pStyle w:val="FootnoteText"/>
        <w:jc w:val="both"/>
        <w:rPr>
          <w:sz w:val="18"/>
          <w:szCs w:val="18"/>
        </w:rPr>
      </w:pPr>
      <w:r w:rsidRPr="001E5CCA">
        <w:rPr>
          <w:rStyle w:val="FootnoteReference"/>
          <w:sz w:val="18"/>
          <w:szCs w:val="18"/>
        </w:rPr>
        <w:footnoteRef/>
      </w:r>
      <w:r w:rsidRPr="001E5CCA">
        <w:rPr>
          <w:sz w:val="18"/>
          <w:szCs w:val="18"/>
        </w:rPr>
        <w:t xml:space="preserve">Овај циљ је практично већ остварен имајући у виду да је почетна вредност из 2020. године 97,36%. Тиме се имплицитно признаје одустајање од обухвата маргиналних група. </w:t>
      </w:r>
    </w:p>
  </w:footnote>
  <w:footnote w:id="12">
    <w:p w:rsidR="00A52928" w:rsidRPr="001B395D" w:rsidRDefault="00A52928">
      <w:pPr>
        <w:pStyle w:val="FootnoteText"/>
        <w:rPr>
          <w:rFonts w:cstheme="minorHAnsi"/>
          <w:sz w:val="18"/>
          <w:szCs w:val="18"/>
        </w:rPr>
      </w:pPr>
      <w:r w:rsidRPr="001B395D">
        <w:rPr>
          <w:rStyle w:val="FootnoteReference"/>
          <w:rFonts w:cstheme="minorHAnsi"/>
          <w:sz w:val="18"/>
          <w:szCs w:val="18"/>
        </w:rPr>
        <w:footnoteRef/>
      </w:r>
      <w:r w:rsidRPr="001B395D">
        <w:rPr>
          <w:rFonts w:cstheme="minorHAnsi"/>
          <w:sz w:val="18"/>
          <w:szCs w:val="18"/>
        </w:rPr>
        <w:t xml:space="preserve">Методолошки је проблематично посматрања стопе обухвата на нивоу локалних самоуправа, подаци често флуктуирају (види Оквир 2). </w:t>
      </w:r>
    </w:p>
  </w:footnote>
  <w:footnote w:id="13">
    <w:p w:rsidR="002B1548" w:rsidRPr="002B1548" w:rsidRDefault="002B1548">
      <w:pPr>
        <w:pStyle w:val="FootnoteText"/>
      </w:pPr>
      <w:r>
        <w:rPr>
          <w:rStyle w:val="FootnoteReference"/>
        </w:rPr>
        <w:footnoteRef/>
      </w:r>
      <w:r w:rsidR="00C6463A">
        <w:rPr>
          <w:sz w:val="18"/>
          <w:szCs w:val="18"/>
        </w:rPr>
        <w:t>Односи се на статистички регион Србија-Југ који обухвата регион Шумадије и Западне Србије и регион Јужне и Источне Србије</w:t>
      </w:r>
    </w:p>
  </w:footnote>
  <w:footnote w:id="14">
    <w:p w:rsidR="00A52928" w:rsidRPr="00FF4024" w:rsidRDefault="00A52928">
      <w:pPr>
        <w:pStyle w:val="FootnoteText"/>
        <w:rPr>
          <w:sz w:val="18"/>
          <w:szCs w:val="18"/>
        </w:rPr>
      </w:pPr>
      <w:r w:rsidRPr="00FF4024">
        <w:rPr>
          <w:rStyle w:val="FootnoteReference"/>
          <w:sz w:val="18"/>
          <w:szCs w:val="18"/>
        </w:rPr>
        <w:footnoteRef/>
      </w:r>
      <w:r w:rsidRPr="00FF4024">
        <w:rPr>
          <w:sz w:val="18"/>
          <w:szCs w:val="18"/>
        </w:rPr>
        <w:t>Елаборат јавних предшколских установа и јавних основних школа на територији општине смедеревска паланка, Смедеревска Паланка, 2019</w:t>
      </w:r>
    </w:p>
  </w:footnote>
  <w:footnote w:id="15">
    <w:p w:rsidR="00A52928" w:rsidRPr="001440CB" w:rsidRDefault="00A52928">
      <w:pPr>
        <w:pStyle w:val="FootnoteText"/>
      </w:pPr>
      <w:r>
        <w:rPr>
          <w:rStyle w:val="FootnoteReference"/>
        </w:rPr>
        <w:footnoteRef/>
      </w:r>
    </w:p>
  </w:footnote>
  <w:footnote w:id="16">
    <w:p w:rsidR="00A52928" w:rsidRPr="00AC4BD9" w:rsidRDefault="00A52928" w:rsidP="00DA753F">
      <w:pPr>
        <w:pStyle w:val="FootnoteText"/>
        <w:rPr>
          <w:sz w:val="18"/>
          <w:szCs w:val="18"/>
        </w:rPr>
      </w:pPr>
      <w:r w:rsidRPr="00AC4BD9">
        <w:rPr>
          <w:rStyle w:val="FootnoteReference"/>
          <w:sz w:val="18"/>
          <w:szCs w:val="18"/>
        </w:rPr>
        <w:footnoteRef/>
      </w:r>
      <w:r w:rsidRPr="00AC4BD9">
        <w:rPr>
          <w:rFonts w:ascii="Tahoma" w:hAnsi="Tahoma" w:cs="Tahoma"/>
          <w:sz w:val="18"/>
          <w:szCs w:val="18"/>
        </w:rPr>
        <w:t>Ниже стопе могу бити резултат неадекватног статистичког праћења миграција (види Оквир 3) па их треба узети са резервом и пратити податке на терену.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168B"/>
    <w:multiLevelType w:val="multilevel"/>
    <w:tmpl w:val="9B743C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2C74CE5"/>
    <w:multiLevelType w:val="hybridMultilevel"/>
    <w:tmpl w:val="07C42F3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9E530F"/>
    <w:multiLevelType w:val="hybridMultilevel"/>
    <w:tmpl w:val="4EC4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A429AA"/>
    <w:multiLevelType w:val="hybridMultilevel"/>
    <w:tmpl w:val="976691A0"/>
    <w:lvl w:ilvl="0" w:tplc="0FCC80E6">
      <w:start w:val="1"/>
      <w:numFmt w:val="bullet"/>
      <w:lvlText w:val=""/>
      <w:lvlJc w:val="left"/>
      <w:pPr>
        <w:ind w:left="360" w:hanging="360"/>
      </w:pPr>
      <w:rPr>
        <w:rFonts w:ascii="Symbol" w:hAnsi="Symbol" w:hint="default"/>
        <w:color w:val="1F3864" w:themeColor="accent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858113D"/>
    <w:multiLevelType w:val="hybridMultilevel"/>
    <w:tmpl w:val="7C564B14"/>
    <w:lvl w:ilvl="0" w:tplc="8EC491D6">
      <w:start w:val="1"/>
      <w:numFmt w:val="bullet"/>
      <w:lvlText w:val=""/>
      <w:lvlJc w:val="left"/>
      <w:pPr>
        <w:ind w:left="360" w:hanging="360"/>
      </w:pPr>
      <w:rPr>
        <w:rFonts w:ascii="Symbol" w:hAnsi="Symbol" w:hint="default"/>
        <w:color w:val="1F3864" w:themeColor="accent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24"/>
    <w:rsid w:val="00007943"/>
    <w:rsid w:val="00012082"/>
    <w:rsid w:val="00026B6E"/>
    <w:rsid w:val="00037C16"/>
    <w:rsid w:val="0005019B"/>
    <w:rsid w:val="00050E97"/>
    <w:rsid w:val="000534A5"/>
    <w:rsid w:val="000557D2"/>
    <w:rsid w:val="0006012D"/>
    <w:rsid w:val="00060414"/>
    <w:rsid w:val="000648B1"/>
    <w:rsid w:val="00081A14"/>
    <w:rsid w:val="000874D0"/>
    <w:rsid w:val="000939A9"/>
    <w:rsid w:val="000A7C7C"/>
    <w:rsid w:val="000B15D9"/>
    <w:rsid w:val="000B1FE5"/>
    <w:rsid w:val="000B2AD7"/>
    <w:rsid w:val="000B3EF6"/>
    <w:rsid w:val="000D4C6F"/>
    <w:rsid w:val="000D53EE"/>
    <w:rsid w:val="000D5D81"/>
    <w:rsid w:val="000E1245"/>
    <w:rsid w:val="000E3CC0"/>
    <w:rsid w:val="000E732A"/>
    <w:rsid w:val="000F40CF"/>
    <w:rsid w:val="00100E03"/>
    <w:rsid w:val="0010326C"/>
    <w:rsid w:val="00105FE6"/>
    <w:rsid w:val="001069AF"/>
    <w:rsid w:val="0010786D"/>
    <w:rsid w:val="0011374D"/>
    <w:rsid w:val="00116DFD"/>
    <w:rsid w:val="00124C45"/>
    <w:rsid w:val="001318FF"/>
    <w:rsid w:val="00137B1B"/>
    <w:rsid w:val="00141134"/>
    <w:rsid w:val="001440CB"/>
    <w:rsid w:val="0014448E"/>
    <w:rsid w:val="001503B0"/>
    <w:rsid w:val="00157249"/>
    <w:rsid w:val="00157643"/>
    <w:rsid w:val="001612C1"/>
    <w:rsid w:val="0016168A"/>
    <w:rsid w:val="00164FE4"/>
    <w:rsid w:val="001669F9"/>
    <w:rsid w:val="00167803"/>
    <w:rsid w:val="00170DFC"/>
    <w:rsid w:val="00171808"/>
    <w:rsid w:val="00174480"/>
    <w:rsid w:val="00174977"/>
    <w:rsid w:val="00175CF0"/>
    <w:rsid w:val="001808A2"/>
    <w:rsid w:val="00182FCC"/>
    <w:rsid w:val="0019138C"/>
    <w:rsid w:val="00191C66"/>
    <w:rsid w:val="00193A7F"/>
    <w:rsid w:val="00196701"/>
    <w:rsid w:val="00197ED2"/>
    <w:rsid w:val="001A0EA1"/>
    <w:rsid w:val="001A2E02"/>
    <w:rsid w:val="001A473D"/>
    <w:rsid w:val="001A5150"/>
    <w:rsid w:val="001B395D"/>
    <w:rsid w:val="001C08F2"/>
    <w:rsid w:val="001C2A39"/>
    <w:rsid w:val="001D1973"/>
    <w:rsid w:val="001D3FE6"/>
    <w:rsid w:val="001E74E6"/>
    <w:rsid w:val="001F6C6B"/>
    <w:rsid w:val="00201AD0"/>
    <w:rsid w:val="00201DE0"/>
    <w:rsid w:val="0020709B"/>
    <w:rsid w:val="00214C04"/>
    <w:rsid w:val="0021693C"/>
    <w:rsid w:val="00216A01"/>
    <w:rsid w:val="00223999"/>
    <w:rsid w:val="002300EE"/>
    <w:rsid w:val="002331CC"/>
    <w:rsid w:val="00237097"/>
    <w:rsid w:val="002405F6"/>
    <w:rsid w:val="00251170"/>
    <w:rsid w:val="00257740"/>
    <w:rsid w:val="002679F2"/>
    <w:rsid w:val="0027271E"/>
    <w:rsid w:val="0028532D"/>
    <w:rsid w:val="00290ED4"/>
    <w:rsid w:val="002911DE"/>
    <w:rsid w:val="00292440"/>
    <w:rsid w:val="002958E4"/>
    <w:rsid w:val="00296D60"/>
    <w:rsid w:val="002978D1"/>
    <w:rsid w:val="002A111A"/>
    <w:rsid w:val="002A5686"/>
    <w:rsid w:val="002A5868"/>
    <w:rsid w:val="002A62CA"/>
    <w:rsid w:val="002B0494"/>
    <w:rsid w:val="002B1548"/>
    <w:rsid w:val="002C0507"/>
    <w:rsid w:val="002C0609"/>
    <w:rsid w:val="002C4545"/>
    <w:rsid w:val="002C4CC0"/>
    <w:rsid w:val="002C6BB6"/>
    <w:rsid w:val="002D32E8"/>
    <w:rsid w:val="002E3560"/>
    <w:rsid w:val="002E4FA2"/>
    <w:rsid w:val="002F1B46"/>
    <w:rsid w:val="002F32D8"/>
    <w:rsid w:val="002F7E36"/>
    <w:rsid w:val="0030364B"/>
    <w:rsid w:val="0031078C"/>
    <w:rsid w:val="003130B7"/>
    <w:rsid w:val="003155DA"/>
    <w:rsid w:val="0032035D"/>
    <w:rsid w:val="003260A8"/>
    <w:rsid w:val="003326EA"/>
    <w:rsid w:val="003358F5"/>
    <w:rsid w:val="00335B11"/>
    <w:rsid w:val="00336C76"/>
    <w:rsid w:val="003378A4"/>
    <w:rsid w:val="00342776"/>
    <w:rsid w:val="0034299C"/>
    <w:rsid w:val="00343996"/>
    <w:rsid w:val="00350A20"/>
    <w:rsid w:val="00354253"/>
    <w:rsid w:val="00361404"/>
    <w:rsid w:val="0036202B"/>
    <w:rsid w:val="00364076"/>
    <w:rsid w:val="00367120"/>
    <w:rsid w:val="00373297"/>
    <w:rsid w:val="00373915"/>
    <w:rsid w:val="00377CAD"/>
    <w:rsid w:val="00377F73"/>
    <w:rsid w:val="003833AA"/>
    <w:rsid w:val="00384711"/>
    <w:rsid w:val="003B4A7D"/>
    <w:rsid w:val="003B4C39"/>
    <w:rsid w:val="003C1BCD"/>
    <w:rsid w:val="003C68F0"/>
    <w:rsid w:val="003D4A5D"/>
    <w:rsid w:val="003D4D54"/>
    <w:rsid w:val="003E0E0D"/>
    <w:rsid w:val="003E3DBB"/>
    <w:rsid w:val="003E4794"/>
    <w:rsid w:val="003E47D3"/>
    <w:rsid w:val="003E5661"/>
    <w:rsid w:val="003E606F"/>
    <w:rsid w:val="00404662"/>
    <w:rsid w:val="004137C5"/>
    <w:rsid w:val="004138E9"/>
    <w:rsid w:val="00420C54"/>
    <w:rsid w:val="00426868"/>
    <w:rsid w:val="00434172"/>
    <w:rsid w:val="0044271B"/>
    <w:rsid w:val="00450E07"/>
    <w:rsid w:val="00461239"/>
    <w:rsid w:val="004660A9"/>
    <w:rsid w:val="00480DA3"/>
    <w:rsid w:val="00482C4E"/>
    <w:rsid w:val="0048681D"/>
    <w:rsid w:val="0048768A"/>
    <w:rsid w:val="00487F0D"/>
    <w:rsid w:val="00491A4F"/>
    <w:rsid w:val="0049368A"/>
    <w:rsid w:val="00494D11"/>
    <w:rsid w:val="004A65DD"/>
    <w:rsid w:val="004A7248"/>
    <w:rsid w:val="004B6346"/>
    <w:rsid w:val="004B7E6A"/>
    <w:rsid w:val="004C0D3F"/>
    <w:rsid w:val="004D375E"/>
    <w:rsid w:val="004D5131"/>
    <w:rsid w:val="004E30FF"/>
    <w:rsid w:val="004E3C2A"/>
    <w:rsid w:val="004F30DE"/>
    <w:rsid w:val="004F4DC2"/>
    <w:rsid w:val="004F7376"/>
    <w:rsid w:val="005005DC"/>
    <w:rsid w:val="00504AC2"/>
    <w:rsid w:val="0050772F"/>
    <w:rsid w:val="00516D53"/>
    <w:rsid w:val="0052300E"/>
    <w:rsid w:val="005269CA"/>
    <w:rsid w:val="005472A8"/>
    <w:rsid w:val="005517F8"/>
    <w:rsid w:val="00554CE7"/>
    <w:rsid w:val="00556AF4"/>
    <w:rsid w:val="00562483"/>
    <w:rsid w:val="0056447E"/>
    <w:rsid w:val="005715A0"/>
    <w:rsid w:val="00572AE4"/>
    <w:rsid w:val="005748ED"/>
    <w:rsid w:val="005814C5"/>
    <w:rsid w:val="00590A0D"/>
    <w:rsid w:val="00591E6F"/>
    <w:rsid w:val="00591F3D"/>
    <w:rsid w:val="005A3283"/>
    <w:rsid w:val="005A3BD3"/>
    <w:rsid w:val="005A78FC"/>
    <w:rsid w:val="005B5252"/>
    <w:rsid w:val="005B59B4"/>
    <w:rsid w:val="005C35EF"/>
    <w:rsid w:val="005C4290"/>
    <w:rsid w:val="005D1BA1"/>
    <w:rsid w:val="005D34D8"/>
    <w:rsid w:val="005E59BA"/>
    <w:rsid w:val="005E7051"/>
    <w:rsid w:val="006003EE"/>
    <w:rsid w:val="00601149"/>
    <w:rsid w:val="006146B8"/>
    <w:rsid w:val="0062596A"/>
    <w:rsid w:val="00626D18"/>
    <w:rsid w:val="00633D73"/>
    <w:rsid w:val="006348C0"/>
    <w:rsid w:val="0063735B"/>
    <w:rsid w:val="00644A2F"/>
    <w:rsid w:val="00647DD3"/>
    <w:rsid w:val="00650D14"/>
    <w:rsid w:val="006538C2"/>
    <w:rsid w:val="006567D5"/>
    <w:rsid w:val="00664904"/>
    <w:rsid w:val="00664C9C"/>
    <w:rsid w:val="00664E86"/>
    <w:rsid w:val="00677D84"/>
    <w:rsid w:val="0068070A"/>
    <w:rsid w:val="006807C3"/>
    <w:rsid w:val="00681220"/>
    <w:rsid w:val="00697A6E"/>
    <w:rsid w:val="006A65C2"/>
    <w:rsid w:val="006B3DA6"/>
    <w:rsid w:val="006B48A8"/>
    <w:rsid w:val="006C0D54"/>
    <w:rsid w:val="006C2975"/>
    <w:rsid w:val="006C6D7A"/>
    <w:rsid w:val="006D06AC"/>
    <w:rsid w:val="006D3667"/>
    <w:rsid w:val="006E0070"/>
    <w:rsid w:val="006E45F2"/>
    <w:rsid w:val="006E5B5A"/>
    <w:rsid w:val="006F6D20"/>
    <w:rsid w:val="00707E32"/>
    <w:rsid w:val="007150DA"/>
    <w:rsid w:val="007153D4"/>
    <w:rsid w:val="0073250F"/>
    <w:rsid w:val="00736EED"/>
    <w:rsid w:val="00746BB3"/>
    <w:rsid w:val="007472D5"/>
    <w:rsid w:val="00761442"/>
    <w:rsid w:val="00764B3D"/>
    <w:rsid w:val="00765481"/>
    <w:rsid w:val="00774677"/>
    <w:rsid w:val="00790C16"/>
    <w:rsid w:val="00793676"/>
    <w:rsid w:val="00796EE6"/>
    <w:rsid w:val="0079755D"/>
    <w:rsid w:val="007A085A"/>
    <w:rsid w:val="007A592F"/>
    <w:rsid w:val="007B48D6"/>
    <w:rsid w:val="007B7542"/>
    <w:rsid w:val="007C2D05"/>
    <w:rsid w:val="007C31C2"/>
    <w:rsid w:val="007E6831"/>
    <w:rsid w:val="007E6D38"/>
    <w:rsid w:val="007E7544"/>
    <w:rsid w:val="007E778B"/>
    <w:rsid w:val="007F0F4C"/>
    <w:rsid w:val="007F1CC8"/>
    <w:rsid w:val="007F6228"/>
    <w:rsid w:val="00801BA0"/>
    <w:rsid w:val="008063C4"/>
    <w:rsid w:val="00815324"/>
    <w:rsid w:val="008177DB"/>
    <w:rsid w:val="008229AE"/>
    <w:rsid w:val="008341AB"/>
    <w:rsid w:val="008450D0"/>
    <w:rsid w:val="00846EC2"/>
    <w:rsid w:val="008558D1"/>
    <w:rsid w:val="0087201E"/>
    <w:rsid w:val="008722EB"/>
    <w:rsid w:val="008774B7"/>
    <w:rsid w:val="008800DB"/>
    <w:rsid w:val="00882B64"/>
    <w:rsid w:val="00884195"/>
    <w:rsid w:val="008A42F1"/>
    <w:rsid w:val="008A4622"/>
    <w:rsid w:val="008A660C"/>
    <w:rsid w:val="008B0321"/>
    <w:rsid w:val="008B0E6D"/>
    <w:rsid w:val="008B2E25"/>
    <w:rsid w:val="008D20FC"/>
    <w:rsid w:val="008E48AC"/>
    <w:rsid w:val="009046C6"/>
    <w:rsid w:val="00912A57"/>
    <w:rsid w:val="00923058"/>
    <w:rsid w:val="0092414E"/>
    <w:rsid w:val="0092509C"/>
    <w:rsid w:val="00925F5E"/>
    <w:rsid w:val="00931172"/>
    <w:rsid w:val="009315F7"/>
    <w:rsid w:val="0094151C"/>
    <w:rsid w:val="00954416"/>
    <w:rsid w:val="009629DE"/>
    <w:rsid w:val="0096331D"/>
    <w:rsid w:val="0096785A"/>
    <w:rsid w:val="00981004"/>
    <w:rsid w:val="00981E83"/>
    <w:rsid w:val="00981EF6"/>
    <w:rsid w:val="009844D2"/>
    <w:rsid w:val="00996947"/>
    <w:rsid w:val="009A1C12"/>
    <w:rsid w:val="009A2D75"/>
    <w:rsid w:val="009A457B"/>
    <w:rsid w:val="009A51E8"/>
    <w:rsid w:val="009A621A"/>
    <w:rsid w:val="009A6737"/>
    <w:rsid w:val="009A6F9F"/>
    <w:rsid w:val="009B02FE"/>
    <w:rsid w:val="009B34CB"/>
    <w:rsid w:val="009D538A"/>
    <w:rsid w:val="009E0001"/>
    <w:rsid w:val="009F03D6"/>
    <w:rsid w:val="009F6B31"/>
    <w:rsid w:val="00A05549"/>
    <w:rsid w:val="00A11D5D"/>
    <w:rsid w:val="00A134F2"/>
    <w:rsid w:val="00A14BCA"/>
    <w:rsid w:val="00A22EDB"/>
    <w:rsid w:val="00A2651C"/>
    <w:rsid w:val="00A306DC"/>
    <w:rsid w:val="00A3711B"/>
    <w:rsid w:val="00A40B77"/>
    <w:rsid w:val="00A4655B"/>
    <w:rsid w:val="00A52928"/>
    <w:rsid w:val="00A53A1E"/>
    <w:rsid w:val="00A5529B"/>
    <w:rsid w:val="00A60662"/>
    <w:rsid w:val="00A642D4"/>
    <w:rsid w:val="00A72639"/>
    <w:rsid w:val="00A73290"/>
    <w:rsid w:val="00A7362E"/>
    <w:rsid w:val="00A76220"/>
    <w:rsid w:val="00A777DF"/>
    <w:rsid w:val="00A81258"/>
    <w:rsid w:val="00A85FD6"/>
    <w:rsid w:val="00A92B01"/>
    <w:rsid w:val="00A92E1A"/>
    <w:rsid w:val="00AA247D"/>
    <w:rsid w:val="00AA4740"/>
    <w:rsid w:val="00AB3F5B"/>
    <w:rsid w:val="00AB4D59"/>
    <w:rsid w:val="00AB506B"/>
    <w:rsid w:val="00AB78CC"/>
    <w:rsid w:val="00AE2322"/>
    <w:rsid w:val="00AE7201"/>
    <w:rsid w:val="00AF4693"/>
    <w:rsid w:val="00AF77DC"/>
    <w:rsid w:val="00B00367"/>
    <w:rsid w:val="00B0347F"/>
    <w:rsid w:val="00B061E4"/>
    <w:rsid w:val="00B06333"/>
    <w:rsid w:val="00B06FE6"/>
    <w:rsid w:val="00B10DF1"/>
    <w:rsid w:val="00B11B14"/>
    <w:rsid w:val="00B23ED4"/>
    <w:rsid w:val="00B24292"/>
    <w:rsid w:val="00B26108"/>
    <w:rsid w:val="00B26A13"/>
    <w:rsid w:val="00B26E77"/>
    <w:rsid w:val="00B27536"/>
    <w:rsid w:val="00B27A70"/>
    <w:rsid w:val="00B3089C"/>
    <w:rsid w:val="00B30955"/>
    <w:rsid w:val="00B31644"/>
    <w:rsid w:val="00B374A1"/>
    <w:rsid w:val="00B406FE"/>
    <w:rsid w:val="00B447C1"/>
    <w:rsid w:val="00B55D9B"/>
    <w:rsid w:val="00B608B5"/>
    <w:rsid w:val="00B658FA"/>
    <w:rsid w:val="00B66793"/>
    <w:rsid w:val="00B93DF3"/>
    <w:rsid w:val="00BA290F"/>
    <w:rsid w:val="00BA47D8"/>
    <w:rsid w:val="00BA568E"/>
    <w:rsid w:val="00BA68EF"/>
    <w:rsid w:val="00BA6A9C"/>
    <w:rsid w:val="00BA6E1B"/>
    <w:rsid w:val="00BA7DDC"/>
    <w:rsid w:val="00BD0BE4"/>
    <w:rsid w:val="00BD0E65"/>
    <w:rsid w:val="00BD13DD"/>
    <w:rsid w:val="00BE5FB7"/>
    <w:rsid w:val="00BF413C"/>
    <w:rsid w:val="00C012EA"/>
    <w:rsid w:val="00C05582"/>
    <w:rsid w:val="00C0578E"/>
    <w:rsid w:val="00C1024D"/>
    <w:rsid w:val="00C10A66"/>
    <w:rsid w:val="00C11BB4"/>
    <w:rsid w:val="00C150C0"/>
    <w:rsid w:val="00C212B6"/>
    <w:rsid w:val="00C21B6D"/>
    <w:rsid w:val="00C249DC"/>
    <w:rsid w:val="00C3562C"/>
    <w:rsid w:val="00C4243B"/>
    <w:rsid w:val="00C42F73"/>
    <w:rsid w:val="00C44A2B"/>
    <w:rsid w:val="00C46CFD"/>
    <w:rsid w:val="00C47944"/>
    <w:rsid w:val="00C47E42"/>
    <w:rsid w:val="00C511F3"/>
    <w:rsid w:val="00C55BF8"/>
    <w:rsid w:val="00C60039"/>
    <w:rsid w:val="00C6463A"/>
    <w:rsid w:val="00C66AFF"/>
    <w:rsid w:val="00C719EF"/>
    <w:rsid w:val="00CA2BBA"/>
    <w:rsid w:val="00CB1688"/>
    <w:rsid w:val="00CB1F78"/>
    <w:rsid w:val="00CB26C7"/>
    <w:rsid w:val="00CB5343"/>
    <w:rsid w:val="00CB5BFE"/>
    <w:rsid w:val="00CB5E4F"/>
    <w:rsid w:val="00CB675D"/>
    <w:rsid w:val="00CB6D0D"/>
    <w:rsid w:val="00CC3318"/>
    <w:rsid w:val="00CC4909"/>
    <w:rsid w:val="00CC524D"/>
    <w:rsid w:val="00CC7614"/>
    <w:rsid w:val="00CC7673"/>
    <w:rsid w:val="00CD5A86"/>
    <w:rsid w:val="00CD64BE"/>
    <w:rsid w:val="00CE1A5F"/>
    <w:rsid w:val="00CE74B4"/>
    <w:rsid w:val="00CE7D3B"/>
    <w:rsid w:val="00CF3331"/>
    <w:rsid w:val="00CF7E8E"/>
    <w:rsid w:val="00D045DD"/>
    <w:rsid w:val="00D10885"/>
    <w:rsid w:val="00D14306"/>
    <w:rsid w:val="00D14DBA"/>
    <w:rsid w:val="00D15CE4"/>
    <w:rsid w:val="00D16D98"/>
    <w:rsid w:val="00D2049E"/>
    <w:rsid w:val="00D24C8C"/>
    <w:rsid w:val="00D336B8"/>
    <w:rsid w:val="00D34DDC"/>
    <w:rsid w:val="00D3704A"/>
    <w:rsid w:val="00D40295"/>
    <w:rsid w:val="00D421C5"/>
    <w:rsid w:val="00D43919"/>
    <w:rsid w:val="00D52501"/>
    <w:rsid w:val="00D565CC"/>
    <w:rsid w:val="00D7032E"/>
    <w:rsid w:val="00D71D79"/>
    <w:rsid w:val="00D72F88"/>
    <w:rsid w:val="00D84132"/>
    <w:rsid w:val="00D90A62"/>
    <w:rsid w:val="00D91871"/>
    <w:rsid w:val="00D92146"/>
    <w:rsid w:val="00D95043"/>
    <w:rsid w:val="00D97537"/>
    <w:rsid w:val="00DA753F"/>
    <w:rsid w:val="00DA79EA"/>
    <w:rsid w:val="00DB5D24"/>
    <w:rsid w:val="00DB6E02"/>
    <w:rsid w:val="00DC3DFB"/>
    <w:rsid w:val="00DC7A3F"/>
    <w:rsid w:val="00DC7E33"/>
    <w:rsid w:val="00DD228F"/>
    <w:rsid w:val="00DD27F2"/>
    <w:rsid w:val="00DD30A9"/>
    <w:rsid w:val="00DD5E72"/>
    <w:rsid w:val="00DD736E"/>
    <w:rsid w:val="00DE79E8"/>
    <w:rsid w:val="00DF039B"/>
    <w:rsid w:val="00E012A8"/>
    <w:rsid w:val="00E05E7F"/>
    <w:rsid w:val="00E174F6"/>
    <w:rsid w:val="00E40271"/>
    <w:rsid w:val="00E46C06"/>
    <w:rsid w:val="00E56558"/>
    <w:rsid w:val="00E62380"/>
    <w:rsid w:val="00E72181"/>
    <w:rsid w:val="00E865D2"/>
    <w:rsid w:val="00E86E6F"/>
    <w:rsid w:val="00E90129"/>
    <w:rsid w:val="00E914F1"/>
    <w:rsid w:val="00EA0BFB"/>
    <w:rsid w:val="00EB59C0"/>
    <w:rsid w:val="00EB6856"/>
    <w:rsid w:val="00EB7C3B"/>
    <w:rsid w:val="00ED2012"/>
    <w:rsid w:val="00ED4A90"/>
    <w:rsid w:val="00ED72EC"/>
    <w:rsid w:val="00EE02D1"/>
    <w:rsid w:val="00EE2D68"/>
    <w:rsid w:val="00EE58A2"/>
    <w:rsid w:val="00EE6739"/>
    <w:rsid w:val="00EF13B4"/>
    <w:rsid w:val="00EF1FA1"/>
    <w:rsid w:val="00EF23B4"/>
    <w:rsid w:val="00F01627"/>
    <w:rsid w:val="00F05400"/>
    <w:rsid w:val="00F07BB2"/>
    <w:rsid w:val="00F12E42"/>
    <w:rsid w:val="00F13A28"/>
    <w:rsid w:val="00F14E93"/>
    <w:rsid w:val="00F2165B"/>
    <w:rsid w:val="00F25B5C"/>
    <w:rsid w:val="00F31D0F"/>
    <w:rsid w:val="00F31D38"/>
    <w:rsid w:val="00F321F0"/>
    <w:rsid w:val="00F32E11"/>
    <w:rsid w:val="00F34D93"/>
    <w:rsid w:val="00F4007D"/>
    <w:rsid w:val="00F4065B"/>
    <w:rsid w:val="00F42E4A"/>
    <w:rsid w:val="00F43131"/>
    <w:rsid w:val="00F44A2F"/>
    <w:rsid w:val="00F55758"/>
    <w:rsid w:val="00F6227D"/>
    <w:rsid w:val="00F62A95"/>
    <w:rsid w:val="00F676D5"/>
    <w:rsid w:val="00F711CF"/>
    <w:rsid w:val="00F75241"/>
    <w:rsid w:val="00F77675"/>
    <w:rsid w:val="00F80D84"/>
    <w:rsid w:val="00F869C2"/>
    <w:rsid w:val="00F94511"/>
    <w:rsid w:val="00FA11A3"/>
    <w:rsid w:val="00FB1009"/>
    <w:rsid w:val="00FD049E"/>
    <w:rsid w:val="00FD49A8"/>
    <w:rsid w:val="00FE668B"/>
    <w:rsid w:val="00FE6A87"/>
    <w:rsid w:val="00FF40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3387D"/>
  <w15:docId w15:val="{EA5712D9-52FE-3643-8FF0-8EA19511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15D9"/>
    <w:rPr>
      <w:rFonts w:ascii="Times New Roman" w:eastAsia="Times New Roman" w:hAnsi="Times New Roman" w:cs="Times New Roman"/>
    </w:rPr>
  </w:style>
  <w:style w:type="paragraph" w:styleId="Heading1">
    <w:name w:val="heading 1"/>
    <w:basedOn w:val="Normal"/>
    <w:next w:val="Normal"/>
    <w:link w:val="Heading1Char"/>
    <w:uiPriority w:val="9"/>
    <w:qFormat/>
    <w:rsid w:val="00556AF4"/>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69A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Footnote Text Char1,Footnote Text Char Char,Footnote Text Char1 Char Char,Footnote Text Char Char Char Char,Footnote Text Char1 Char Char1 Char Char,Footnote Text Char Char Char Char1 Char Char,ft Char Char Char Char Char Char"/>
    <w:basedOn w:val="Normal"/>
    <w:link w:val="FootnoteTextChar"/>
    <w:unhideWhenUsed/>
    <w:qFormat/>
    <w:rsid w:val="00DB5D24"/>
    <w:rPr>
      <w:rFonts w:asciiTheme="minorHAnsi" w:hAnsiTheme="minorHAnsi" w:cstheme="minorBidi"/>
    </w:rPr>
  </w:style>
  <w:style w:type="character" w:customStyle="1" w:styleId="FootnoteTextChar">
    <w:name w:val="Footnote Text Char"/>
    <w:aliases w:val="5_G Char,Footnote Text Char1 Char,Footnote Text Char Char Char,Footnote Text Char1 Char Char Char,Footnote Text Char Char Char Char Char,Footnote Text Char1 Char Char1 Char Char Char,Footnote Text Char Char Char Char1 Char Char Char"/>
    <w:basedOn w:val="DefaultParagraphFont"/>
    <w:link w:val="FootnoteText"/>
    <w:rsid w:val="00DB5D24"/>
  </w:style>
  <w:style w:type="character" w:styleId="FootnoteReference">
    <w:name w:val="footnote reference"/>
    <w:aliases w:val="4_G,Footnotes refss,ftref,BVI fnr,BVI fnr Car Car,BVI fnr Car,BVI fnr Car Car Car Car,BVI fnr Char Car Car Car,BVI fnr Char Car Car Car Char,BVI fnr Car Car Car Car Char Char,BVI fnr Car Car Car Car Char Char Char Char Char,16 Point"/>
    <w:basedOn w:val="DefaultParagraphFont"/>
    <w:unhideWhenUsed/>
    <w:qFormat/>
    <w:rsid w:val="00DB5D24"/>
    <w:rPr>
      <w:vertAlign w:val="superscript"/>
    </w:rPr>
  </w:style>
  <w:style w:type="paragraph" w:styleId="ListParagraph">
    <w:name w:val="List Paragraph"/>
    <w:basedOn w:val="Normal"/>
    <w:uiPriority w:val="34"/>
    <w:qFormat/>
    <w:rsid w:val="005B59B4"/>
    <w:pPr>
      <w:ind w:left="720"/>
      <w:contextualSpacing/>
    </w:pPr>
    <w:rPr>
      <w:rFonts w:asciiTheme="minorHAnsi" w:eastAsiaTheme="minorHAnsi" w:hAnsiTheme="minorHAnsi" w:cstheme="minorBidi"/>
    </w:rPr>
  </w:style>
  <w:style w:type="paragraph" w:customStyle="1" w:styleId="MediumGrid1-Accent21">
    <w:name w:val="Medium Grid 1 - Accent 21"/>
    <w:basedOn w:val="Normal"/>
    <w:uiPriority w:val="34"/>
    <w:qFormat/>
    <w:rsid w:val="005B59B4"/>
    <w:pPr>
      <w:spacing w:before="120" w:after="200" w:line="276" w:lineRule="auto"/>
      <w:ind w:left="720"/>
      <w:contextualSpacing/>
    </w:pPr>
    <w:rPr>
      <w:rFonts w:eastAsia="Calibri"/>
    </w:rPr>
  </w:style>
  <w:style w:type="character" w:styleId="Hyperlink">
    <w:name w:val="Hyperlink"/>
    <w:basedOn w:val="DefaultParagraphFont"/>
    <w:unhideWhenUsed/>
    <w:rsid w:val="005B59B4"/>
    <w:rPr>
      <w:color w:val="0563C1" w:themeColor="hyperlink"/>
      <w:u w:val="single"/>
    </w:rPr>
  </w:style>
  <w:style w:type="paragraph" w:styleId="BalloonText">
    <w:name w:val="Balloon Text"/>
    <w:basedOn w:val="Normal"/>
    <w:link w:val="BalloonTextChar"/>
    <w:uiPriority w:val="99"/>
    <w:semiHidden/>
    <w:unhideWhenUsed/>
    <w:rsid w:val="00C55BF8"/>
    <w:rPr>
      <w:rFonts w:ascii="Tahoma" w:hAnsi="Tahoma" w:cs="Tahoma"/>
      <w:sz w:val="16"/>
      <w:szCs w:val="16"/>
    </w:rPr>
  </w:style>
  <w:style w:type="character" w:customStyle="1" w:styleId="BalloonTextChar">
    <w:name w:val="Balloon Text Char"/>
    <w:basedOn w:val="DefaultParagraphFont"/>
    <w:link w:val="BalloonText"/>
    <w:uiPriority w:val="99"/>
    <w:semiHidden/>
    <w:rsid w:val="00C55BF8"/>
    <w:rPr>
      <w:rFonts w:ascii="Tahoma" w:eastAsia="Times New Roman" w:hAnsi="Tahoma" w:cs="Tahoma"/>
      <w:sz w:val="16"/>
      <w:szCs w:val="16"/>
    </w:rPr>
  </w:style>
  <w:style w:type="paragraph" w:styleId="Header">
    <w:name w:val="header"/>
    <w:basedOn w:val="Normal"/>
    <w:link w:val="HeaderChar"/>
    <w:uiPriority w:val="99"/>
    <w:unhideWhenUsed/>
    <w:rsid w:val="00C212B6"/>
    <w:pPr>
      <w:tabs>
        <w:tab w:val="center" w:pos="4513"/>
        <w:tab w:val="right" w:pos="9026"/>
      </w:tabs>
    </w:pPr>
  </w:style>
  <w:style w:type="character" w:customStyle="1" w:styleId="HeaderChar">
    <w:name w:val="Header Char"/>
    <w:basedOn w:val="DefaultParagraphFont"/>
    <w:link w:val="Header"/>
    <w:uiPriority w:val="99"/>
    <w:rsid w:val="00C212B6"/>
    <w:rPr>
      <w:rFonts w:ascii="Times New Roman" w:eastAsia="Times New Roman" w:hAnsi="Times New Roman" w:cs="Times New Roman"/>
    </w:rPr>
  </w:style>
  <w:style w:type="paragraph" w:styleId="Footer">
    <w:name w:val="footer"/>
    <w:basedOn w:val="Normal"/>
    <w:link w:val="FooterChar"/>
    <w:uiPriority w:val="99"/>
    <w:unhideWhenUsed/>
    <w:rsid w:val="00C212B6"/>
    <w:pPr>
      <w:tabs>
        <w:tab w:val="center" w:pos="4513"/>
        <w:tab w:val="right" w:pos="9026"/>
      </w:tabs>
    </w:pPr>
  </w:style>
  <w:style w:type="character" w:customStyle="1" w:styleId="FooterChar">
    <w:name w:val="Footer Char"/>
    <w:basedOn w:val="DefaultParagraphFont"/>
    <w:link w:val="Footer"/>
    <w:uiPriority w:val="99"/>
    <w:rsid w:val="00C212B6"/>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56AF4"/>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556AF4"/>
    <w:rPr>
      <w:sz w:val="16"/>
      <w:szCs w:val="16"/>
    </w:rPr>
  </w:style>
  <w:style w:type="paragraph" w:styleId="CommentText">
    <w:name w:val="annotation text"/>
    <w:basedOn w:val="Normal"/>
    <w:link w:val="CommentTextChar"/>
    <w:uiPriority w:val="99"/>
    <w:semiHidden/>
    <w:unhideWhenUsed/>
    <w:rsid w:val="00556AF4"/>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56AF4"/>
    <w:rPr>
      <w:sz w:val="20"/>
      <w:szCs w:val="20"/>
    </w:rPr>
  </w:style>
  <w:style w:type="table" w:customStyle="1" w:styleId="GridTable5Dark-Accent51">
    <w:name w:val="Grid Table 5 Dark - Accent 51"/>
    <w:basedOn w:val="TableNormal"/>
    <w:uiPriority w:val="50"/>
    <w:rsid w:val="004F30DE"/>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CommentSubject">
    <w:name w:val="annotation subject"/>
    <w:basedOn w:val="CommentText"/>
    <w:next w:val="CommentText"/>
    <w:link w:val="CommentSubjectChar"/>
    <w:uiPriority w:val="99"/>
    <w:semiHidden/>
    <w:unhideWhenUsed/>
    <w:rsid w:val="00C11BB4"/>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11BB4"/>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1069AF"/>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6C6D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19403">
      <w:bodyDiv w:val="1"/>
      <w:marLeft w:val="0"/>
      <w:marRight w:val="0"/>
      <w:marTop w:val="0"/>
      <w:marBottom w:val="0"/>
      <w:divBdr>
        <w:top w:val="none" w:sz="0" w:space="0" w:color="auto"/>
        <w:left w:val="none" w:sz="0" w:space="0" w:color="auto"/>
        <w:bottom w:val="none" w:sz="0" w:space="0" w:color="auto"/>
        <w:right w:val="none" w:sz="0" w:space="0" w:color="auto"/>
      </w:divBdr>
    </w:div>
    <w:div w:id="702680199">
      <w:bodyDiv w:val="1"/>
      <w:marLeft w:val="0"/>
      <w:marRight w:val="0"/>
      <w:marTop w:val="0"/>
      <w:marBottom w:val="0"/>
      <w:divBdr>
        <w:top w:val="none" w:sz="0" w:space="0" w:color="auto"/>
        <w:left w:val="none" w:sz="0" w:space="0" w:color="auto"/>
        <w:bottom w:val="none" w:sz="0" w:space="0" w:color="auto"/>
        <w:right w:val="none" w:sz="0" w:space="0" w:color="auto"/>
      </w:divBdr>
    </w:div>
    <w:div w:id="772018591">
      <w:bodyDiv w:val="1"/>
      <w:marLeft w:val="0"/>
      <w:marRight w:val="0"/>
      <w:marTop w:val="0"/>
      <w:marBottom w:val="0"/>
      <w:divBdr>
        <w:top w:val="none" w:sz="0" w:space="0" w:color="auto"/>
        <w:left w:val="none" w:sz="0" w:space="0" w:color="auto"/>
        <w:bottom w:val="none" w:sz="0" w:space="0" w:color="auto"/>
        <w:right w:val="none" w:sz="0" w:space="0" w:color="auto"/>
      </w:divBdr>
    </w:div>
    <w:div w:id="896865065">
      <w:bodyDiv w:val="1"/>
      <w:marLeft w:val="0"/>
      <w:marRight w:val="0"/>
      <w:marTop w:val="0"/>
      <w:marBottom w:val="0"/>
      <w:divBdr>
        <w:top w:val="none" w:sz="0" w:space="0" w:color="auto"/>
        <w:left w:val="none" w:sz="0" w:space="0" w:color="auto"/>
        <w:bottom w:val="none" w:sz="0" w:space="0" w:color="auto"/>
        <w:right w:val="none" w:sz="0" w:space="0" w:color="auto"/>
      </w:divBdr>
    </w:div>
    <w:div w:id="1323781164">
      <w:bodyDiv w:val="1"/>
      <w:marLeft w:val="0"/>
      <w:marRight w:val="0"/>
      <w:marTop w:val="0"/>
      <w:marBottom w:val="0"/>
      <w:divBdr>
        <w:top w:val="none" w:sz="0" w:space="0" w:color="auto"/>
        <w:left w:val="none" w:sz="0" w:space="0" w:color="auto"/>
        <w:bottom w:val="none" w:sz="0" w:space="0" w:color="auto"/>
        <w:right w:val="none" w:sz="0" w:space="0" w:color="auto"/>
      </w:divBdr>
    </w:div>
    <w:div w:id="1598057610">
      <w:bodyDiv w:val="1"/>
      <w:marLeft w:val="0"/>
      <w:marRight w:val="0"/>
      <w:marTop w:val="0"/>
      <w:marBottom w:val="0"/>
      <w:divBdr>
        <w:top w:val="none" w:sz="0" w:space="0" w:color="auto"/>
        <w:left w:val="none" w:sz="0" w:space="0" w:color="auto"/>
        <w:bottom w:val="none" w:sz="0" w:space="0" w:color="auto"/>
        <w:right w:val="none" w:sz="0" w:space="0" w:color="auto"/>
      </w:divBdr>
    </w:div>
    <w:div w:id="19043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evinfo.stat.gov.rs/diSrbija/diHome.aspx" TargetMode="Externa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chart" Target="charts/chart4.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pn.gov.rs/kategorija_dokumenata/strategij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ilan\Desktop\KETI-IVA-2022\&#1057;&#1052;&#1045;&#1044;&#1045;&#1056;&#1045;&#1042;&#1057;&#1050;&#1040;%20&#1055;&#1040;&#1051;&#1040;&#1053;&#1050;&#1040;\&#1057;&#1084;&#1077;&#1076;&#1077;&#1088;&#1077;&#1074;&#1089;&#1082;&#1072;%20&#1055;&#1072;&#1083;&#1072;&#1085;&#1082;&#1072;%20-%20&#1075;&#1088;&#1072;&#1092;&#1080;&#1082;&#1086;&#1085;&#108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katarinastanic\Dropbox\SKGO\2022\Analize\Iva%20fajlovi\&#1057;&#1052;&#1045;&#1044;&#1045;&#1056;&#1045;&#1042;&#1057;&#1050;&#1040;%20&#1055;&#1040;&#1051;&#1040;&#1053;&#1050;&#1040;\&#1057;&#1084;&#1077;&#1076;&#1077;&#1088;&#1077;&#1074;&#1089;&#1082;&#1072;%20&#1055;&#1072;&#1083;&#1072;&#1085;&#1082;&#1072;%20-%20&#1075;&#1088;&#1072;&#1092;&#1080;&#1082;&#1086;&#1085;&#108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ilan\Desktop\KETI-IVA-2022\&#1087;&#1088;&#1086;&#1092;&#1080;&#1083;&#1080;%20&#1086;&#1087;&#1096;&#1090;&#1080;&#1085;&#1072;\DI_Profil_Smederevska%20Palanka_EURSRB00200200700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ilan\Desktop\KETI-IVA-2022\&#1087;&#1088;&#1086;&#1092;&#1080;&#1083;&#1080;%20&#1086;&#1087;&#1096;&#1090;&#1080;&#1085;&#1072;\DI_Profil_Smederevska%20Palanka_EURSRB00200200700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ilan\Desktop\KETI-IVA-2022\&#1057;&#1052;&#1045;&#1044;&#1045;&#1056;&#1045;&#1042;&#1057;&#1050;&#1040;%20&#1055;&#1040;&#1051;&#1040;&#1053;&#1050;&#1040;\&#1057;&#1084;&#1077;&#1076;&#1077;&#1088;&#1077;&#1074;&#1089;&#1082;&#1072;%20&#1055;&#1072;&#1083;&#1072;&#1085;&#1082;&#1072;%20-%20&#1075;&#1088;&#1072;&#1092;&#1080;&#1082;&#1086;&#1085;&#108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ilan\Desktop\KETI-IVA-2022\&#1057;&#1052;&#1045;&#1044;&#1045;&#1056;&#1045;&#1042;&#1057;&#1050;&#1040;%20&#1055;&#1040;&#1051;&#1040;&#1053;&#1050;&#1040;\&#1057;&#1084;&#1077;&#1076;&#1077;&#1088;&#1077;&#1074;&#1089;&#1082;&#1072;%20&#1055;&#1072;&#1083;&#1072;&#1085;&#1082;&#1072;%20-%20&#1075;&#1088;&#1072;&#1092;&#1080;&#1082;&#1086;&#1085;&#108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ilan\Desktop\KETI-IVA-2022\&#1057;&#1052;&#1045;&#1044;&#1045;&#1056;&#1045;&#1042;&#1057;&#1050;&#1040;%20&#1055;&#1040;&#1051;&#1040;&#1053;&#1050;&#1040;\&#1057;&#1084;&#1077;&#1076;&#1077;&#1088;&#1077;&#1074;&#1089;&#1082;&#1072;%20&#1055;&#1072;&#1083;&#1072;&#1085;&#1082;&#1072;%20-%20&#1075;&#1088;&#1072;&#1092;&#1080;&#1082;&#1086;&#1085;&#108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ilan\Desktop\KETI-IVA-2022\&#1057;&#1052;&#1045;&#1044;&#1045;&#1056;&#1045;&#1042;&#1057;&#1050;&#1040;%20&#1055;&#1040;&#1051;&#1040;&#1053;&#1050;&#1040;\&#1057;&#1084;&#1077;&#1076;&#1077;&#1088;&#1077;&#1074;&#1089;&#1082;&#1072;%20&#1055;&#1072;&#1083;&#1072;&#1085;&#1082;&#1072;%20-%20&#1075;&#1088;&#1072;&#1092;&#1080;&#1082;&#1086;&#1085;&#108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166402188624838E-2"/>
          <c:y val="5.7917760279965015E-2"/>
          <c:w val="0.90144173941042161"/>
          <c:h val="0.74970282260826715"/>
        </c:manualLayout>
      </c:layout>
      <c:lineChart>
        <c:grouping val="standard"/>
        <c:varyColors val="0"/>
        <c:ser>
          <c:idx val="0"/>
          <c:order val="0"/>
          <c:tx>
            <c:strRef>
              <c:f>'смедеревска паланка-G1'!$G$1</c:f>
              <c:strCache>
                <c:ptCount val="1"/>
                <c:pt idx="0">
                  <c:v>0-3</c:v>
                </c:pt>
              </c:strCache>
            </c:strRef>
          </c:tx>
          <c:spPr>
            <a:ln>
              <a:solidFill>
                <a:schemeClr val="accent1">
                  <a:lumMod val="75000"/>
                </a:schemeClr>
              </a:solidFill>
            </a:ln>
          </c:spPr>
          <c:marker>
            <c:symbol val="circle"/>
            <c:size val="22"/>
          </c:marker>
          <c:dLbls>
            <c:spPr>
              <a:noFill/>
              <a:ln>
                <a:noFill/>
              </a:ln>
              <a:effectLst/>
            </c:spPr>
            <c:txPr>
              <a:bodyPr/>
              <a:lstStyle/>
              <a:p>
                <a:pPr>
                  <a:defRPr b="1">
                    <a:solidFill>
                      <a:schemeClr val="bg1"/>
                    </a:solidFill>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'смедеревска паланка-G1'!$F$2:$F$12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'смедеревска паланка-G1'!$G$2:$G$12</c:f>
              <c:numCache>
                <c:formatCode>General</c:formatCode>
                <c:ptCount val="11"/>
                <c:pt idx="0">
                  <c:v>12.8</c:v>
                </c:pt>
                <c:pt idx="1">
                  <c:v>15.1</c:v>
                </c:pt>
                <c:pt idx="2">
                  <c:v>14.9</c:v>
                </c:pt>
                <c:pt idx="3">
                  <c:v>15.8</c:v>
                </c:pt>
                <c:pt idx="4">
                  <c:v>16.899999999999999</c:v>
                </c:pt>
                <c:pt idx="5">
                  <c:v>18.100000000000001</c:v>
                </c:pt>
                <c:pt idx="6">
                  <c:v>19.899999999999999</c:v>
                </c:pt>
                <c:pt idx="7">
                  <c:v>23.6</c:v>
                </c:pt>
                <c:pt idx="8">
                  <c:v>25.8</c:v>
                </c:pt>
                <c:pt idx="9">
                  <c:v>27.3</c:v>
                </c:pt>
                <c:pt idx="10">
                  <c:v>23.5</c:v>
                </c:pt>
              </c:numCache>
            </c:numRef>
          </c:val>
          <c:smooth val="0"/>
          <c:extLst>
            <c:ext xmlns:c16="http://schemas.microsoft.com/office/drawing/2014/chart" uri="{C3380CC4-5D6E-409C-BE32-E72D297353CC}">
              <c16:uniqueId val="{00000000-B1B9-E049-BBA8-5E9DEEBB98D9}"/>
            </c:ext>
          </c:extLst>
        </c:ser>
        <c:ser>
          <c:idx val="1"/>
          <c:order val="1"/>
          <c:tx>
            <c:strRef>
              <c:f>'смедеревска паланка-G1'!$H$1</c:f>
              <c:strCache>
                <c:ptCount val="1"/>
                <c:pt idx="0">
                  <c:v>3 до поласка у ППП</c:v>
                </c:pt>
              </c:strCache>
            </c:strRef>
          </c:tx>
          <c:spPr>
            <a:ln>
              <a:solidFill>
                <a:schemeClr val="accent2"/>
              </a:solidFill>
            </a:ln>
          </c:spPr>
          <c:marker>
            <c:symbol val="circle"/>
            <c:size val="22"/>
            <c:spPr>
              <a:solidFill>
                <a:schemeClr val="accent2"/>
              </a:solidFill>
              <a:ln>
                <a:solidFill>
                  <a:srgbClr val="F79646">
                    <a:lumMod val="75000"/>
                  </a:srgbClr>
                </a:solidFill>
              </a:ln>
            </c:spPr>
          </c:marker>
          <c:dLbls>
            <c:spPr>
              <a:noFill/>
              <a:ln>
                <a:noFill/>
              </a:ln>
              <a:effectLst/>
            </c:spPr>
            <c:txPr>
              <a:bodyPr/>
              <a:lstStyle/>
              <a:p>
                <a:pPr>
                  <a:defRPr b="1">
                    <a:solidFill>
                      <a:schemeClr val="bg1"/>
                    </a:solidFill>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'смедеревска паланка-G1'!$F$2:$F$12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'смедеревска паланка-G1'!$H$2:$H$12</c:f>
              <c:numCache>
                <c:formatCode>General</c:formatCode>
                <c:ptCount val="11"/>
                <c:pt idx="0">
                  <c:v>39.700000000000003</c:v>
                </c:pt>
                <c:pt idx="1">
                  <c:v>41.5</c:v>
                </c:pt>
                <c:pt idx="2">
                  <c:v>43.1</c:v>
                </c:pt>
                <c:pt idx="3">
                  <c:v>42.3</c:v>
                </c:pt>
                <c:pt idx="4">
                  <c:v>44.9</c:v>
                </c:pt>
                <c:pt idx="5">
                  <c:v>46</c:v>
                </c:pt>
                <c:pt idx="6">
                  <c:v>55.3</c:v>
                </c:pt>
                <c:pt idx="7">
                  <c:v>54.3</c:v>
                </c:pt>
                <c:pt idx="8">
                  <c:v>56.8</c:v>
                </c:pt>
                <c:pt idx="9">
                  <c:v>62.9</c:v>
                </c:pt>
                <c:pt idx="10">
                  <c:v>56</c:v>
                </c:pt>
              </c:numCache>
            </c:numRef>
          </c:val>
          <c:smooth val="0"/>
          <c:extLst>
            <c:ext xmlns:c16="http://schemas.microsoft.com/office/drawing/2014/chart" uri="{C3380CC4-5D6E-409C-BE32-E72D297353CC}">
              <c16:uniqueId val="{00000001-B1B9-E049-BBA8-5E9DEEBB98D9}"/>
            </c:ext>
          </c:extLst>
        </c:ser>
        <c:ser>
          <c:idx val="2"/>
          <c:order val="2"/>
          <c:tx>
            <c:strRef>
              <c:f>'смедеревска паланка-G1'!$I$1</c:f>
              <c:strCache>
                <c:ptCount val="1"/>
                <c:pt idx="0">
                  <c:v>ППП</c:v>
                </c:pt>
              </c:strCache>
            </c:strRef>
          </c:tx>
          <c:spPr>
            <a:ln>
              <a:solidFill>
                <a:schemeClr val="bg1">
                  <a:lumMod val="75000"/>
                </a:schemeClr>
              </a:solidFill>
            </a:ln>
          </c:spPr>
          <c:marker>
            <c:symbol val="circle"/>
            <c:size val="23"/>
            <c:spPr>
              <a:solidFill>
                <a:schemeClr val="bg1">
                  <a:lumMod val="75000"/>
                </a:schemeClr>
              </a:solidFill>
              <a:ln>
                <a:solidFill>
                  <a:schemeClr val="bg1">
                    <a:lumMod val="75000"/>
                  </a:schemeClr>
                </a:solidFill>
              </a:ln>
            </c:spPr>
          </c:marker>
          <c:dLbls>
            <c:spPr>
              <a:noFill/>
              <a:ln>
                <a:noFill/>
              </a:ln>
              <a:effectLst/>
            </c:spPr>
            <c:txPr>
              <a:bodyPr/>
              <a:lstStyle/>
              <a:p>
                <a:pPr>
                  <a:defRPr b="1">
                    <a:solidFill>
                      <a:schemeClr val="bg1"/>
                    </a:solidFill>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'смедеревска паланка-G1'!$F$2:$F$12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'смедеревска паланка-G1'!$I$2:$I$12</c:f>
              <c:numCache>
                <c:formatCode>General</c:formatCode>
                <c:ptCount val="11"/>
                <c:pt idx="0">
                  <c:v>91.1</c:v>
                </c:pt>
                <c:pt idx="1">
                  <c:v>99.8</c:v>
                </c:pt>
                <c:pt idx="2">
                  <c:v>99.3</c:v>
                </c:pt>
                <c:pt idx="3">
                  <c:v>95.1</c:v>
                </c:pt>
                <c:pt idx="4">
                  <c:v>103.1</c:v>
                </c:pt>
                <c:pt idx="5">
                  <c:v>102.5</c:v>
                </c:pt>
                <c:pt idx="6">
                  <c:v>100.8</c:v>
                </c:pt>
                <c:pt idx="7">
                  <c:v>106.9</c:v>
                </c:pt>
                <c:pt idx="8">
                  <c:v>104.3</c:v>
                </c:pt>
                <c:pt idx="9">
                  <c:v>103.4</c:v>
                </c:pt>
                <c:pt idx="10">
                  <c:v>104.9</c:v>
                </c:pt>
              </c:numCache>
            </c:numRef>
          </c:val>
          <c:smooth val="0"/>
          <c:extLst>
            <c:ext xmlns:c16="http://schemas.microsoft.com/office/drawing/2014/chart" uri="{C3380CC4-5D6E-409C-BE32-E72D297353CC}">
              <c16:uniqueId val="{00000002-B1B9-E049-BBA8-5E9DEEBB98D9}"/>
            </c:ext>
          </c:extLst>
        </c:ser>
        <c:dLbls>
          <c:showLegendKey val="0"/>
          <c:showVal val="0"/>
          <c:showCatName val="0"/>
          <c:showSerName val="0"/>
          <c:showPercent val="0"/>
          <c:showBubbleSize val="0"/>
        </c:dLbls>
        <c:marker val="1"/>
        <c:smooth val="0"/>
        <c:axId val="78534912"/>
        <c:axId val="78598144"/>
      </c:lineChart>
      <c:catAx>
        <c:axId val="78534912"/>
        <c:scaling>
          <c:orientation val="minMax"/>
        </c:scaling>
        <c:delete val="0"/>
        <c:axPos val="b"/>
        <c:numFmt formatCode="General" sourceLinked="1"/>
        <c:majorTickMark val="out"/>
        <c:minorTickMark val="none"/>
        <c:tickLblPos val="nextTo"/>
        <c:spPr>
          <a:ln>
            <a:noFill/>
          </a:ln>
        </c:spPr>
        <c:txPr>
          <a:bodyPr/>
          <a:lstStyle/>
          <a:p>
            <a:pPr>
              <a:defRPr>
                <a:solidFill>
                  <a:schemeClr val="tx1">
                    <a:lumMod val="50000"/>
                    <a:lumOff val="50000"/>
                  </a:schemeClr>
                </a:solidFill>
              </a:defRPr>
            </a:pPr>
            <a:endParaRPr lang="en-US"/>
          </a:p>
        </c:txPr>
        <c:crossAx val="78598144"/>
        <c:crosses val="autoZero"/>
        <c:auto val="1"/>
        <c:lblAlgn val="ctr"/>
        <c:lblOffset val="100"/>
        <c:noMultiLvlLbl val="0"/>
      </c:catAx>
      <c:valAx>
        <c:axId val="78598144"/>
        <c:scaling>
          <c:orientation val="minMax"/>
        </c:scaling>
        <c:delete val="0"/>
        <c:axPos val="l"/>
        <c:majorGridlines>
          <c:spPr>
            <a:ln>
              <a:solidFill>
                <a:schemeClr val="bg1">
                  <a:lumMod val="85000"/>
                </a:schemeClr>
              </a:solidFill>
              <a:round/>
            </a:ln>
            <a:effectLst>
              <a:outerShdw blurRad="50800" dist="50800" dir="5400000" algn="ctr" rotWithShape="0">
                <a:schemeClr val="bg1"/>
              </a:outerShdw>
            </a:effectLst>
          </c:spPr>
        </c:majorGridlines>
        <c:numFmt formatCode="General" sourceLinked="1"/>
        <c:majorTickMark val="out"/>
        <c:minorTickMark val="none"/>
        <c:tickLblPos val="nextTo"/>
        <c:spPr>
          <a:noFill/>
          <a:ln>
            <a:noFill/>
          </a:ln>
        </c:spPr>
        <c:txPr>
          <a:bodyPr/>
          <a:lstStyle/>
          <a:p>
            <a:pPr>
              <a:defRPr>
                <a:solidFill>
                  <a:schemeClr val="tx1">
                    <a:lumMod val="50000"/>
                    <a:lumOff val="50000"/>
                  </a:schemeClr>
                </a:solidFill>
              </a:defRPr>
            </a:pPr>
            <a:endParaRPr lang="en-US"/>
          </a:p>
        </c:txPr>
        <c:crossAx val="78534912"/>
        <c:crosses val="autoZero"/>
        <c:crossBetween val="between"/>
      </c:valAx>
    </c:plotArea>
    <c:legend>
      <c:legendPos val="b"/>
      <c:layout>
        <c:manualLayout>
          <c:xMode val="edge"/>
          <c:yMode val="edge"/>
          <c:x val="0.24474781990158606"/>
          <c:y val="0.92911570428696344"/>
          <c:w val="0.51050418011642118"/>
          <c:h val="7.0884295713035922E-2"/>
        </c:manualLayout>
      </c:layout>
      <c:overlay val="0"/>
      <c:txPr>
        <a:bodyPr/>
        <a:lstStyle/>
        <a:p>
          <a:pPr>
            <a:defRPr>
              <a:solidFill>
                <a:schemeClr val="tx1">
                  <a:lumMod val="50000"/>
                  <a:lumOff val="50000"/>
                </a:schemeClr>
              </a:solidFill>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7429504305680473E-2"/>
          <c:y val="4.0200027940048684E-2"/>
          <c:w val="0.94257049569431961"/>
          <c:h val="0.78538878007475366"/>
        </c:manualLayout>
      </c:layout>
      <c:barChart>
        <c:barDir val="col"/>
        <c:grouping val="clustered"/>
        <c:varyColors val="0"/>
        <c:ser>
          <c:idx val="0"/>
          <c:order val="0"/>
          <c:tx>
            <c:strRef>
              <c:f>'смедеревска паланка-G2'!$F$28</c:f>
              <c:strCache>
                <c:ptCount val="1"/>
                <c:pt idx="0">
                  <c:v>СРБИЈА - ЈУГ</c:v>
                </c:pt>
              </c:strCache>
            </c:strRef>
          </c:tx>
          <c:spPr>
            <a:solidFill>
              <a:schemeClr val="bg1">
                <a:lumMod val="75000"/>
              </a:schemeClr>
            </a:solidFill>
          </c:spPr>
          <c:invertIfNegative val="0"/>
          <c:dLbls>
            <c:spPr>
              <a:noFill/>
              <a:ln>
                <a:noFill/>
              </a:ln>
              <a:effectLst/>
            </c:spPr>
            <c:txPr>
              <a:bodyPr wrap="square" lIns="38100" tIns="19050" rIns="38100" bIns="19050" anchor="ctr">
                <a:spAutoFit/>
              </a:bodyPr>
              <a:lstStyle/>
              <a:p>
                <a:pPr>
                  <a:defRPr sz="1000" b="1" i="0" u="none" strike="noStrike" baseline="0">
                    <a:solidFill>
                      <a:srgbClr val="FFFFFF"/>
                    </a:solidFill>
                    <a:latin typeface="Calibri"/>
                    <a:ea typeface="Calibri"/>
                    <a:cs typeface="Calibri"/>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'смедеревска паланка-G2'!$G$27:$I$27</c:f>
              <c:strCache>
                <c:ptCount val="3"/>
                <c:pt idx="0">
                  <c:v>0-3</c:v>
                </c:pt>
                <c:pt idx="1">
                  <c:v>3-полазак у ППП</c:v>
                </c:pt>
                <c:pt idx="2">
                  <c:v>ППП</c:v>
                </c:pt>
              </c:strCache>
            </c:strRef>
          </c:cat>
          <c:val>
            <c:numRef>
              <c:f>'смедеревска паланка-G2'!$G$28:$I$28</c:f>
              <c:numCache>
                <c:formatCode>General</c:formatCode>
                <c:ptCount val="3"/>
                <c:pt idx="0">
                  <c:v>21.87</c:v>
                </c:pt>
                <c:pt idx="1">
                  <c:v>52.730000000000011</c:v>
                </c:pt>
                <c:pt idx="2">
                  <c:v>98.07</c:v>
                </c:pt>
              </c:numCache>
            </c:numRef>
          </c:val>
          <c:extLst>
            <c:ext xmlns:c16="http://schemas.microsoft.com/office/drawing/2014/chart" uri="{C3380CC4-5D6E-409C-BE32-E72D297353CC}">
              <c16:uniqueId val="{00000000-34CF-DA47-B135-18FD8D9947D3}"/>
            </c:ext>
          </c:extLst>
        </c:ser>
        <c:ser>
          <c:idx val="1"/>
          <c:order val="1"/>
          <c:tx>
            <c:strRef>
              <c:f>'смедеревска паланка-G2'!$F$29</c:f>
              <c:strCache>
                <c:ptCount val="1"/>
                <c:pt idx="0">
                  <c:v>Подунавска област</c:v>
                </c:pt>
              </c:strCache>
            </c:strRef>
          </c:tx>
          <c:spPr>
            <a:solidFill>
              <a:schemeClr val="accent2"/>
            </a:solidFill>
          </c:spPr>
          <c:invertIfNegative val="0"/>
          <c:dLbls>
            <c:spPr>
              <a:noFill/>
              <a:ln>
                <a:noFill/>
              </a:ln>
              <a:effectLst/>
            </c:spPr>
            <c:txPr>
              <a:bodyPr wrap="square" lIns="38100" tIns="19050" rIns="38100" bIns="19050" anchor="ctr">
                <a:spAutoFit/>
              </a:bodyPr>
              <a:lstStyle/>
              <a:p>
                <a:pPr>
                  <a:defRPr sz="1000" b="1" i="0" u="none" strike="noStrike" baseline="0">
                    <a:solidFill>
                      <a:srgbClr val="FFFFFF"/>
                    </a:solidFill>
                    <a:latin typeface="Calibri"/>
                    <a:ea typeface="Calibri"/>
                    <a:cs typeface="Calibri"/>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'смедеревска паланка-G2'!$G$27:$I$27</c:f>
              <c:strCache>
                <c:ptCount val="3"/>
                <c:pt idx="0">
                  <c:v>0-3</c:v>
                </c:pt>
                <c:pt idx="1">
                  <c:v>3-полазак у ППП</c:v>
                </c:pt>
                <c:pt idx="2">
                  <c:v>ППП</c:v>
                </c:pt>
              </c:strCache>
            </c:strRef>
          </c:cat>
          <c:val>
            <c:numRef>
              <c:f>'смедеревска паланка-G2'!$G$29:$I$29</c:f>
              <c:numCache>
                <c:formatCode>General</c:formatCode>
                <c:ptCount val="3"/>
                <c:pt idx="0">
                  <c:v>24.93</c:v>
                </c:pt>
                <c:pt idx="1">
                  <c:v>59.43</c:v>
                </c:pt>
                <c:pt idx="2">
                  <c:v>101.9</c:v>
                </c:pt>
              </c:numCache>
            </c:numRef>
          </c:val>
          <c:extLst>
            <c:ext xmlns:c16="http://schemas.microsoft.com/office/drawing/2014/chart" uri="{C3380CC4-5D6E-409C-BE32-E72D297353CC}">
              <c16:uniqueId val="{00000001-34CF-DA47-B135-18FD8D9947D3}"/>
            </c:ext>
          </c:extLst>
        </c:ser>
        <c:ser>
          <c:idx val="2"/>
          <c:order val="2"/>
          <c:tx>
            <c:strRef>
              <c:f>'смедеревска паланка-G2'!$F$30</c:f>
              <c:strCache>
                <c:ptCount val="1"/>
                <c:pt idx="0">
                  <c:v>Смедеревска Паланка</c:v>
                </c:pt>
              </c:strCache>
            </c:strRef>
          </c:tx>
          <c:spPr>
            <a:solidFill>
              <a:schemeClr val="accent1">
                <a:lumMod val="75000"/>
              </a:schemeClr>
            </a:solidFill>
          </c:spPr>
          <c:invertIfNegative val="0"/>
          <c:dLbls>
            <c:spPr>
              <a:noFill/>
              <a:ln>
                <a:noFill/>
              </a:ln>
              <a:effectLst/>
            </c:spPr>
            <c:txPr>
              <a:bodyPr wrap="square" lIns="38100" tIns="19050" rIns="38100" bIns="19050" anchor="ctr">
                <a:spAutoFit/>
              </a:bodyPr>
              <a:lstStyle/>
              <a:p>
                <a:pPr>
                  <a:defRPr sz="1000" b="1" i="0" u="none" strike="noStrike" baseline="0">
                    <a:solidFill>
                      <a:srgbClr val="FFFFFF"/>
                    </a:solidFill>
                    <a:latin typeface="Calibri"/>
                    <a:ea typeface="Calibri"/>
                    <a:cs typeface="Calibri"/>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'смедеревска паланка-G2'!$G$27:$I$27</c:f>
              <c:strCache>
                <c:ptCount val="3"/>
                <c:pt idx="0">
                  <c:v>0-3</c:v>
                </c:pt>
                <c:pt idx="1">
                  <c:v>3-полазак у ППП</c:v>
                </c:pt>
                <c:pt idx="2">
                  <c:v>ППП</c:v>
                </c:pt>
              </c:strCache>
            </c:strRef>
          </c:cat>
          <c:val>
            <c:numRef>
              <c:f>'смедеревска паланка-G2'!$G$30:$I$30</c:f>
              <c:numCache>
                <c:formatCode>General</c:formatCode>
                <c:ptCount val="3"/>
                <c:pt idx="0">
                  <c:v>25.53</c:v>
                </c:pt>
                <c:pt idx="1">
                  <c:v>58.57</c:v>
                </c:pt>
                <c:pt idx="2">
                  <c:v>104.2</c:v>
                </c:pt>
              </c:numCache>
            </c:numRef>
          </c:val>
          <c:extLst>
            <c:ext xmlns:c16="http://schemas.microsoft.com/office/drawing/2014/chart" uri="{C3380CC4-5D6E-409C-BE32-E72D297353CC}">
              <c16:uniqueId val="{00000002-34CF-DA47-B135-18FD8D9947D3}"/>
            </c:ext>
          </c:extLst>
        </c:ser>
        <c:dLbls>
          <c:showLegendKey val="0"/>
          <c:showVal val="0"/>
          <c:showCatName val="0"/>
          <c:showSerName val="0"/>
          <c:showPercent val="0"/>
          <c:showBubbleSize val="0"/>
        </c:dLbls>
        <c:gapWidth val="75"/>
        <c:overlap val="-25"/>
        <c:axId val="79374592"/>
        <c:axId val="79459456"/>
      </c:barChart>
      <c:lineChart>
        <c:grouping val="standard"/>
        <c:varyColors val="0"/>
        <c:ser>
          <c:idx val="3"/>
          <c:order val="3"/>
          <c:tx>
            <c:v>2030</c:v>
          </c:tx>
          <c:spPr>
            <a:ln>
              <a:noFill/>
            </a:ln>
          </c:spPr>
          <c:marker>
            <c:symbol val="triangle"/>
            <c:size val="13"/>
            <c:spPr>
              <a:solidFill>
                <a:srgbClr val="92D050"/>
              </a:solidFill>
              <a:ln>
                <a:solidFill>
                  <a:srgbClr val="92D050"/>
                </a:solidFill>
              </a:ln>
            </c:spPr>
          </c:marker>
          <c:val>
            <c:numRef>
              <c:f>'смедеревска паланка-G2'!$G$31:$I$31</c:f>
              <c:numCache>
                <c:formatCode>General</c:formatCode>
                <c:ptCount val="3"/>
                <c:pt idx="0">
                  <c:v>38</c:v>
                </c:pt>
                <c:pt idx="1">
                  <c:v>75</c:v>
                </c:pt>
                <c:pt idx="2">
                  <c:v>98</c:v>
                </c:pt>
              </c:numCache>
            </c:numRef>
          </c:val>
          <c:smooth val="0"/>
          <c:extLst>
            <c:ext xmlns:c16="http://schemas.microsoft.com/office/drawing/2014/chart" uri="{C3380CC4-5D6E-409C-BE32-E72D297353CC}">
              <c16:uniqueId val="{00000003-34CF-DA47-B135-18FD8D9947D3}"/>
            </c:ext>
          </c:extLst>
        </c:ser>
        <c:dLbls>
          <c:showLegendKey val="0"/>
          <c:showVal val="0"/>
          <c:showCatName val="0"/>
          <c:showSerName val="0"/>
          <c:showPercent val="0"/>
          <c:showBubbleSize val="0"/>
        </c:dLbls>
        <c:marker val="1"/>
        <c:smooth val="0"/>
        <c:axId val="79374592"/>
        <c:axId val="79459456"/>
      </c:lineChart>
      <c:catAx>
        <c:axId val="79374592"/>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808080"/>
                </a:solidFill>
                <a:latin typeface="Calibri"/>
                <a:ea typeface="Calibri"/>
                <a:cs typeface="Calibri"/>
              </a:defRPr>
            </a:pPr>
            <a:endParaRPr lang="en-US"/>
          </a:p>
        </c:txPr>
        <c:crossAx val="79459456"/>
        <c:crosses val="autoZero"/>
        <c:auto val="1"/>
        <c:lblAlgn val="ctr"/>
        <c:lblOffset val="100"/>
        <c:noMultiLvlLbl val="0"/>
      </c:catAx>
      <c:valAx>
        <c:axId val="79459456"/>
        <c:scaling>
          <c:orientation val="minMax"/>
        </c:scaling>
        <c:delete val="0"/>
        <c:axPos val="l"/>
        <c:majorGridlines>
          <c:spPr>
            <a:ln>
              <a:solidFill>
                <a:schemeClr val="bg1">
                  <a:lumMod val="85000"/>
                </a:schemeClr>
              </a:solidFill>
            </a:ln>
          </c:spPr>
        </c:majorGridlines>
        <c:numFmt formatCode="General" sourceLinked="1"/>
        <c:majorTickMark val="none"/>
        <c:minorTickMark val="none"/>
        <c:tickLblPos val="nextTo"/>
        <c:spPr>
          <a:ln w="9525">
            <a:noFill/>
          </a:ln>
        </c:spPr>
        <c:txPr>
          <a:bodyPr rot="0" vert="horz"/>
          <a:lstStyle/>
          <a:p>
            <a:pPr>
              <a:defRPr sz="1000" b="0" i="0" u="none" strike="noStrike" baseline="0">
                <a:solidFill>
                  <a:srgbClr val="808080"/>
                </a:solidFill>
                <a:latin typeface="Calibri"/>
                <a:ea typeface="Calibri"/>
                <a:cs typeface="Calibri"/>
              </a:defRPr>
            </a:pPr>
            <a:endParaRPr lang="en-US"/>
          </a:p>
        </c:txPr>
        <c:crossAx val="79374592"/>
        <c:crosses val="autoZero"/>
        <c:crossBetween val="between"/>
        <c:majorUnit val="10"/>
      </c:valAx>
    </c:plotArea>
    <c:legend>
      <c:legendPos val="b"/>
      <c:overlay val="0"/>
      <c:txPr>
        <a:bodyPr/>
        <a:lstStyle/>
        <a:p>
          <a:pPr>
            <a:defRPr sz="920" b="0" i="0" u="none" strike="noStrike" baseline="0">
              <a:solidFill>
                <a:srgbClr val="808080"/>
              </a:solidFill>
              <a:latin typeface="Calibri"/>
              <a:ea typeface="Calibri"/>
              <a:cs typeface="Calibri"/>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8.171762725453767E-2"/>
          <c:y val="3.8891935915214983E-2"/>
          <c:w val="0.88217363273311755"/>
          <c:h val="0.74914524023528994"/>
        </c:manualLayout>
      </c:layout>
      <c:barChart>
        <c:barDir val="col"/>
        <c:grouping val="stacked"/>
        <c:varyColors val="0"/>
        <c:ser>
          <c:idx val="1"/>
          <c:order val="0"/>
          <c:tx>
            <c:strRef>
              <c:f>OBRAZ3!$A$13</c:f>
              <c:strCache>
                <c:ptCount val="1"/>
                <c:pt idx="0">
                  <c:v> Не плаћају</c:v>
                </c:pt>
              </c:strCache>
            </c:strRef>
          </c:tx>
          <c:spPr>
            <a:solidFill>
              <a:srgbClr val="0067B1"/>
            </a:solidFill>
            <a:ln w="3175">
              <a:noFill/>
            </a:ln>
          </c:spPr>
          <c:invertIfNegative val="0"/>
          <c:dLbls>
            <c:numFmt formatCode="0" sourceLinked="0"/>
            <c:spPr>
              <a:noFill/>
              <a:ln>
                <a:noFill/>
              </a:ln>
              <a:effectLst/>
            </c:spPr>
            <c:txPr>
              <a:bodyPr/>
              <a:lstStyle/>
              <a:p>
                <a:pPr algn="ctr">
                  <a:defRPr lang="en-US"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OBRAZ3!$B$12:$D$12</c:f>
              <c:numCache>
                <c:formatCode>General</c:formatCode>
                <c:ptCount val="3"/>
                <c:pt idx="0">
                  <c:v>2018</c:v>
                </c:pt>
                <c:pt idx="1">
                  <c:v>2019</c:v>
                </c:pt>
                <c:pt idx="2">
                  <c:v>2020</c:v>
                </c:pt>
              </c:numCache>
            </c:numRef>
          </c:cat>
          <c:val>
            <c:numRef>
              <c:f>OBRAZ3!$B$13:$D$13</c:f>
              <c:numCache>
                <c:formatCode>General</c:formatCode>
                <c:ptCount val="3"/>
                <c:pt idx="0">
                  <c:v>25.8</c:v>
                </c:pt>
                <c:pt idx="1">
                  <c:v>25.6</c:v>
                </c:pt>
                <c:pt idx="2">
                  <c:v>34.200000000000003</c:v>
                </c:pt>
              </c:numCache>
            </c:numRef>
          </c:val>
          <c:extLst>
            <c:ext xmlns:c16="http://schemas.microsoft.com/office/drawing/2014/chart" uri="{C3380CC4-5D6E-409C-BE32-E72D297353CC}">
              <c16:uniqueId val="{00000008-468B-4147-8A7F-4C17AFF3358E}"/>
            </c:ext>
          </c:extLst>
        </c:ser>
        <c:ser>
          <c:idx val="0"/>
          <c:order val="1"/>
          <c:tx>
            <c:strRef>
              <c:f>OBRAZ3!$A$14</c:f>
              <c:strCache>
                <c:ptCount val="1"/>
                <c:pt idx="0">
                  <c:v> Плаћају регресирану цену</c:v>
                </c:pt>
              </c:strCache>
            </c:strRef>
          </c:tx>
          <c:spPr>
            <a:solidFill>
              <a:srgbClr val="6887EA"/>
            </a:solidFill>
            <a:ln>
              <a:noFill/>
            </a:ln>
          </c:spPr>
          <c:invertIfNegative val="0"/>
          <c:dLbls>
            <c:numFmt formatCode="0" sourceLinked="0"/>
            <c:spPr>
              <a:noFill/>
              <a:ln>
                <a:noFill/>
              </a:ln>
              <a:effectLst/>
            </c:spPr>
            <c:txPr>
              <a:bodyPr/>
              <a:lstStyle/>
              <a:p>
                <a:pPr algn="ctr">
                  <a:defRPr lang="en-US"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OBRAZ3!$B$12:$D$12</c:f>
              <c:numCache>
                <c:formatCode>General</c:formatCode>
                <c:ptCount val="3"/>
                <c:pt idx="0">
                  <c:v>2018</c:v>
                </c:pt>
                <c:pt idx="1">
                  <c:v>2019</c:v>
                </c:pt>
                <c:pt idx="2">
                  <c:v>2020</c:v>
                </c:pt>
              </c:numCache>
            </c:numRef>
          </c:cat>
          <c:val>
            <c:numRef>
              <c:f>OBRAZ3!$B$14:$D$14</c:f>
              <c:numCache>
                <c:formatCode>General</c:formatCode>
                <c:ptCount val="3"/>
                <c:pt idx="0">
                  <c:v>0</c:v>
                </c:pt>
                <c:pt idx="1">
                  <c:v>0</c:v>
                </c:pt>
                <c:pt idx="2">
                  <c:v>0</c:v>
                </c:pt>
              </c:numCache>
            </c:numRef>
          </c:val>
          <c:extLst>
            <c:ext xmlns:c16="http://schemas.microsoft.com/office/drawing/2014/chart" uri="{C3380CC4-5D6E-409C-BE32-E72D297353CC}">
              <c16:uniqueId val="{00000007-3547-4414-8277-037FF933654D}"/>
            </c:ext>
          </c:extLst>
        </c:ser>
        <c:ser>
          <c:idx val="2"/>
          <c:order val="2"/>
          <c:tx>
            <c:strRef>
              <c:f>OBRAZ3!$A$15</c:f>
              <c:strCache>
                <c:ptCount val="1"/>
                <c:pt idx="0">
                  <c:v> Плаћају пуну цену</c:v>
                </c:pt>
              </c:strCache>
            </c:strRef>
          </c:tx>
          <c:spPr>
            <a:solidFill>
              <a:srgbClr val="C0C0C0"/>
            </a:solidFill>
            <a:ln>
              <a:noFill/>
            </a:ln>
          </c:spPr>
          <c:invertIfNegative val="0"/>
          <c:dLbls>
            <c:numFmt formatCode="0" sourceLinked="0"/>
            <c:spPr>
              <a:noFill/>
              <a:ln>
                <a:noFill/>
              </a:ln>
              <a:effectLst/>
            </c:spPr>
            <c:txPr>
              <a:bodyPr/>
              <a:lstStyle/>
              <a:p>
                <a:pPr>
                  <a:defRPr b="1">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OBRAZ3!$B$12:$D$12</c:f>
              <c:numCache>
                <c:formatCode>General</c:formatCode>
                <c:ptCount val="3"/>
                <c:pt idx="0">
                  <c:v>2018</c:v>
                </c:pt>
                <c:pt idx="1">
                  <c:v>2019</c:v>
                </c:pt>
                <c:pt idx="2">
                  <c:v>2020</c:v>
                </c:pt>
              </c:numCache>
            </c:numRef>
          </c:cat>
          <c:val>
            <c:numRef>
              <c:f>OBRAZ3!$B$15:$D$15</c:f>
              <c:numCache>
                <c:formatCode>General</c:formatCode>
                <c:ptCount val="3"/>
                <c:pt idx="0">
                  <c:v>74.2</c:v>
                </c:pt>
                <c:pt idx="1">
                  <c:v>74.5</c:v>
                </c:pt>
                <c:pt idx="2">
                  <c:v>65.8</c:v>
                </c:pt>
              </c:numCache>
            </c:numRef>
          </c:val>
          <c:extLst>
            <c:ext xmlns:c16="http://schemas.microsoft.com/office/drawing/2014/chart" uri="{C3380CC4-5D6E-409C-BE32-E72D297353CC}">
              <c16:uniqueId val="{00000008-3547-4414-8277-037FF933654D}"/>
            </c:ext>
          </c:extLst>
        </c:ser>
        <c:dLbls>
          <c:showLegendKey val="0"/>
          <c:showVal val="0"/>
          <c:showCatName val="0"/>
          <c:showSerName val="0"/>
          <c:showPercent val="0"/>
          <c:showBubbleSize val="0"/>
        </c:dLbls>
        <c:gapWidth val="56"/>
        <c:overlap val="100"/>
        <c:axId val="81498880"/>
        <c:axId val="81501184"/>
      </c:barChart>
      <c:catAx>
        <c:axId val="81498880"/>
        <c:scaling>
          <c:orientation val="minMax"/>
        </c:scaling>
        <c:delete val="0"/>
        <c:axPos val="b"/>
        <c:numFmt formatCode="General"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81501184"/>
        <c:crosses val="autoZero"/>
        <c:auto val="1"/>
        <c:lblAlgn val="ctr"/>
        <c:lblOffset val="100"/>
        <c:noMultiLvlLbl val="0"/>
      </c:catAx>
      <c:valAx>
        <c:axId val="81501184"/>
        <c:scaling>
          <c:orientation val="minMax"/>
          <c:max val="100"/>
          <c:min val="0"/>
        </c:scaling>
        <c:delete val="0"/>
        <c:axPos val="l"/>
        <c:majorGridlines>
          <c:spPr>
            <a:ln w="12700">
              <a:solidFill>
                <a:schemeClr val="bg1">
                  <a:lumMod val="65000"/>
                </a:schemeClr>
              </a:solidFill>
              <a:prstDash val="dash"/>
            </a:ln>
          </c:spPr>
        </c:majorGridlines>
        <c:numFmt formatCode="General" sourceLinked="0"/>
        <c:majorTickMark val="out"/>
        <c:minorTickMark val="none"/>
        <c:tickLblPos val="nextTo"/>
        <c:spPr>
          <a:ln>
            <a:noFill/>
          </a:ln>
        </c:spPr>
        <c:txPr>
          <a:bodyPr/>
          <a:lstStyle/>
          <a:p>
            <a:pPr algn="ctr">
              <a:defRPr lang="en-US" sz="1000" b="0" i="0" u="none" strike="noStrike" kern="1200" baseline="0">
                <a:solidFill>
                  <a:sysClr val="windowText" lastClr="000000"/>
                </a:solidFill>
                <a:latin typeface="Arial" pitchFamily="34" charset="0"/>
                <a:ea typeface="+mn-ea"/>
                <a:cs typeface="Arial" pitchFamily="34" charset="0"/>
              </a:defRPr>
            </a:pPr>
            <a:endParaRPr lang="en-US"/>
          </a:p>
        </c:txPr>
        <c:crossAx val="81498880"/>
        <c:crosses val="autoZero"/>
        <c:crossBetween val="between"/>
        <c:majorUnit val="10"/>
      </c:valAx>
      <c:spPr>
        <a:ln>
          <a:noFill/>
        </a:ln>
      </c:spPr>
    </c:plotArea>
    <c:legend>
      <c:legendPos val="b"/>
      <c:layout>
        <c:manualLayout>
          <c:xMode val="edge"/>
          <c:yMode val="edge"/>
          <c:x val="3.5402076466992081E-2"/>
          <c:y val="0.87251407757269861"/>
          <c:w val="0.93350780574593495"/>
          <c:h val="9.4198464048395047E-2"/>
        </c:manualLayout>
      </c:layout>
      <c:overlay val="0"/>
      <c:txPr>
        <a:bodyPr/>
        <a:lstStyle/>
        <a:p>
          <a:pPr>
            <a:defRPr sz="1100">
              <a:latin typeface="Arial" panose="020B0604020202020204" pitchFamily="34" charset="0"/>
              <a:cs typeface="Arial" panose="020B0604020202020204" pitchFamily="34" charset="0"/>
            </a:defRPr>
          </a:pPr>
          <a:endParaRPr lang="en-US"/>
        </a:p>
      </c:txPr>
    </c:legend>
    <c:plotVisOnly val="1"/>
    <c:dispBlanksAs val="zero"/>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533670556426366E-2"/>
          <c:y val="3.4679038254277011E-2"/>
          <c:w val="0.86882846986563855"/>
          <c:h val="0.71761394229843301"/>
        </c:manualLayout>
      </c:layout>
      <c:barChart>
        <c:barDir val="col"/>
        <c:grouping val="clustered"/>
        <c:varyColors val="0"/>
        <c:ser>
          <c:idx val="0"/>
          <c:order val="0"/>
          <c:tx>
            <c:strRef>
              <c:f>OBRAZ6!$A$5</c:f>
              <c:strCache>
                <c:ptCount val="1"/>
                <c:pt idx="0">
                  <c:v> Матичне школе</c:v>
                </c:pt>
              </c:strCache>
            </c:strRef>
          </c:tx>
          <c:spPr>
            <a:solidFill>
              <a:srgbClr val="0067B1"/>
            </a:solidFill>
            <a:ln w="3175">
              <a:noFill/>
            </a:ln>
          </c:spPr>
          <c:invertIfNegative val="0"/>
          <c:dLbls>
            <c:numFmt formatCode="0" sourceLinked="0"/>
            <c:spPr>
              <a:solidFill>
                <a:sysClr val="window" lastClr="FFFFFF"/>
              </a:solidFill>
            </c:spPr>
            <c:txPr>
              <a:bodyPr/>
              <a:lstStyle/>
              <a:p>
                <a:pPr>
                  <a:defRPr sz="1000" baseline="0">
                    <a:latin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OBRAZ6!$B$4:$C$4</c:f>
              <c:strCache>
                <c:ptCount val="2"/>
                <c:pt idx="0">
                  <c:v>Градска насеља</c:v>
                </c:pt>
                <c:pt idx="1">
                  <c:v>Остала насеља</c:v>
                </c:pt>
              </c:strCache>
            </c:strRef>
          </c:cat>
          <c:val>
            <c:numRef>
              <c:f>OBRAZ6!$B$5:$C$5</c:f>
              <c:numCache>
                <c:formatCode>General</c:formatCode>
                <c:ptCount val="2"/>
                <c:pt idx="0">
                  <c:v>4</c:v>
                </c:pt>
                <c:pt idx="1">
                  <c:v>7</c:v>
                </c:pt>
              </c:numCache>
            </c:numRef>
          </c:val>
          <c:extLst>
            <c:ext xmlns:c16="http://schemas.microsoft.com/office/drawing/2014/chart" uri="{C3380CC4-5D6E-409C-BE32-E72D297353CC}">
              <c16:uniqueId val="{00000000-0391-49C8-ADF0-B2E57BED4FCC}"/>
            </c:ext>
          </c:extLst>
        </c:ser>
        <c:ser>
          <c:idx val="1"/>
          <c:order val="1"/>
          <c:tx>
            <c:strRef>
              <c:f>OBRAZ6!$A$6</c:f>
              <c:strCache>
                <c:ptCount val="1"/>
                <c:pt idx="0">
                  <c:v> Подручна одељења</c:v>
                </c:pt>
              </c:strCache>
            </c:strRef>
          </c:tx>
          <c:spPr>
            <a:solidFill>
              <a:srgbClr val="C0C0C0"/>
            </a:solidFill>
            <a:ln w="3175">
              <a:noFill/>
            </a:ln>
          </c:spPr>
          <c:invertIfNegative val="0"/>
          <c:dLbls>
            <c:numFmt formatCode="0" sourceLinked="0"/>
            <c:spPr>
              <a:solidFill>
                <a:sysClr val="window" lastClr="FFFFFF"/>
              </a:solidFill>
            </c:spPr>
            <c:txPr>
              <a:bodyPr/>
              <a:lstStyle/>
              <a:p>
                <a:pPr>
                  <a:defRPr sz="1000" baseline="0">
                    <a:latin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OBRAZ6!$B$4:$C$4</c:f>
              <c:strCache>
                <c:ptCount val="2"/>
                <c:pt idx="0">
                  <c:v>Градска насеља</c:v>
                </c:pt>
                <c:pt idx="1">
                  <c:v>Остала насеља</c:v>
                </c:pt>
              </c:strCache>
            </c:strRef>
          </c:cat>
          <c:val>
            <c:numRef>
              <c:f>OBRAZ6!$B$6:$C$6</c:f>
              <c:numCache>
                <c:formatCode>General</c:formatCode>
                <c:ptCount val="2"/>
                <c:pt idx="0">
                  <c:v>0</c:v>
                </c:pt>
                <c:pt idx="1">
                  <c:v>11</c:v>
                </c:pt>
              </c:numCache>
            </c:numRef>
          </c:val>
          <c:extLst>
            <c:ext xmlns:c16="http://schemas.microsoft.com/office/drawing/2014/chart" uri="{C3380CC4-5D6E-409C-BE32-E72D297353CC}">
              <c16:uniqueId val="{00000001-0391-49C8-ADF0-B2E57BED4FCC}"/>
            </c:ext>
          </c:extLst>
        </c:ser>
        <c:dLbls>
          <c:showLegendKey val="0"/>
          <c:showVal val="0"/>
          <c:showCatName val="0"/>
          <c:showSerName val="0"/>
          <c:showPercent val="0"/>
          <c:showBubbleSize val="0"/>
        </c:dLbls>
        <c:gapWidth val="46"/>
        <c:overlap val="-7"/>
        <c:axId val="82422400"/>
        <c:axId val="83313024"/>
      </c:barChart>
      <c:catAx>
        <c:axId val="82422400"/>
        <c:scaling>
          <c:orientation val="minMax"/>
        </c:scaling>
        <c:delete val="0"/>
        <c:axPos val="b"/>
        <c:numFmt formatCode="General" sourceLinked="0"/>
        <c:majorTickMark val="none"/>
        <c:minorTickMark val="none"/>
        <c:tickLblPos val="nextTo"/>
        <c:txPr>
          <a:bodyPr/>
          <a:lstStyle/>
          <a:p>
            <a:pPr>
              <a:defRPr sz="1100" baseline="0">
                <a:latin typeface="Arial" pitchFamily="34" charset="0"/>
              </a:defRPr>
            </a:pPr>
            <a:endParaRPr lang="en-US"/>
          </a:p>
        </c:txPr>
        <c:crossAx val="83313024"/>
        <c:crosses val="autoZero"/>
        <c:auto val="1"/>
        <c:lblAlgn val="ctr"/>
        <c:lblOffset val="100"/>
        <c:noMultiLvlLbl val="0"/>
      </c:catAx>
      <c:valAx>
        <c:axId val="83313024"/>
        <c:scaling>
          <c:orientation val="minMax"/>
          <c:min val="0"/>
        </c:scaling>
        <c:delete val="0"/>
        <c:axPos val="l"/>
        <c:majorGridlines>
          <c:spPr>
            <a:ln w="12700">
              <a:solidFill>
                <a:schemeClr val="bg1">
                  <a:lumMod val="65000"/>
                </a:schemeClr>
              </a:solidFill>
              <a:prstDash val="dash"/>
            </a:ln>
          </c:spPr>
        </c:majorGridlines>
        <c:numFmt formatCode="0" sourceLinked="0"/>
        <c:majorTickMark val="none"/>
        <c:minorTickMark val="none"/>
        <c:tickLblPos val="nextTo"/>
        <c:spPr>
          <a:ln>
            <a:noFill/>
          </a:ln>
        </c:spPr>
        <c:txPr>
          <a:bodyPr/>
          <a:lstStyle/>
          <a:p>
            <a:pPr>
              <a:defRPr baseline="0">
                <a:latin typeface="Arial" pitchFamily="34" charset="0"/>
              </a:defRPr>
            </a:pPr>
            <a:endParaRPr lang="en-US"/>
          </a:p>
        </c:txPr>
        <c:crossAx val="82422400"/>
        <c:crosses val="autoZero"/>
        <c:crossBetween val="between"/>
      </c:valAx>
      <c:spPr>
        <a:ln>
          <a:noFill/>
        </a:ln>
      </c:spPr>
    </c:plotArea>
    <c:legend>
      <c:legendPos val="b"/>
      <c:layout>
        <c:manualLayout>
          <c:xMode val="edge"/>
          <c:yMode val="edge"/>
          <c:x val="0.18529242292694817"/>
          <c:y val="0.90618784528065632"/>
          <c:w val="0.66075477487089063"/>
          <c:h val="7.7806444755830165E-2"/>
        </c:manualLayout>
      </c:layout>
      <c:overlay val="0"/>
      <c:txPr>
        <a:bodyPr/>
        <a:lstStyle/>
        <a:p>
          <a:pPr>
            <a:defRPr sz="1100" baseline="0">
              <a:latin typeface="Arial" pitchFamily="34" charset="0"/>
            </a:defRPr>
          </a:pPr>
          <a:endParaRPr lang="en-US"/>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'смедеревска паланка-G5'!$B$1</c:f>
              <c:strCache>
                <c:ptCount val="1"/>
                <c:pt idx="0">
                  <c:v>СРБИЈА - ЈУГ</c:v>
                </c:pt>
              </c:strCache>
            </c:strRef>
          </c:tx>
          <c:spPr>
            <a:ln>
              <a:solidFill>
                <a:schemeClr val="bg1">
                  <a:lumMod val="75000"/>
                </a:schemeClr>
              </a:solidFill>
            </a:ln>
          </c:spPr>
          <c:marker>
            <c:symbol val="circle"/>
            <c:size val="7"/>
            <c:spPr>
              <a:solidFill>
                <a:schemeClr val="bg1">
                  <a:lumMod val="75000"/>
                </a:schemeClr>
              </a:solidFill>
              <a:ln>
                <a:solidFill>
                  <a:schemeClr val="bg1">
                    <a:lumMod val="75000"/>
                  </a:schemeClr>
                </a:solidFill>
              </a:ln>
            </c:spPr>
          </c:marker>
          <c:cat>
            <c:numRef>
              <c:f>'смедеревска паланка-G5'!$A$2:$A$12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'смедеревска паланка-G5'!$B$2:$B$12</c:f>
              <c:numCache>
                <c:formatCode>General</c:formatCode>
                <c:ptCount val="11"/>
                <c:pt idx="0">
                  <c:v>94.1</c:v>
                </c:pt>
                <c:pt idx="1">
                  <c:v>93.1</c:v>
                </c:pt>
                <c:pt idx="2">
                  <c:v>98</c:v>
                </c:pt>
                <c:pt idx="3">
                  <c:v>96.5</c:v>
                </c:pt>
                <c:pt idx="4">
                  <c:v>96.5</c:v>
                </c:pt>
                <c:pt idx="5">
                  <c:v>95.2</c:v>
                </c:pt>
                <c:pt idx="6">
                  <c:v>95.1</c:v>
                </c:pt>
                <c:pt idx="7">
                  <c:v>94.9</c:v>
                </c:pt>
                <c:pt idx="8">
                  <c:v>94.5</c:v>
                </c:pt>
                <c:pt idx="9">
                  <c:v>93.8</c:v>
                </c:pt>
                <c:pt idx="10">
                  <c:v>93.8</c:v>
                </c:pt>
              </c:numCache>
            </c:numRef>
          </c:val>
          <c:smooth val="0"/>
          <c:extLst>
            <c:ext xmlns:c16="http://schemas.microsoft.com/office/drawing/2014/chart" uri="{C3380CC4-5D6E-409C-BE32-E72D297353CC}">
              <c16:uniqueId val="{00000000-7564-1A4F-B07E-B6D82C1F3CF1}"/>
            </c:ext>
          </c:extLst>
        </c:ser>
        <c:ser>
          <c:idx val="1"/>
          <c:order val="1"/>
          <c:tx>
            <c:strRef>
              <c:f>'смедеревска паланка-G5'!$C$1</c:f>
              <c:strCache>
                <c:ptCount val="1"/>
                <c:pt idx="0">
                  <c:v>Подунавска област</c:v>
                </c:pt>
              </c:strCache>
            </c:strRef>
          </c:tx>
          <c:spPr>
            <a:ln>
              <a:solidFill>
                <a:schemeClr val="accent2"/>
              </a:solidFill>
            </a:ln>
          </c:spPr>
          <c:marker>
            <c:symbol val="circle"/>
            <c:size val="7"/>
            <c:spPr>
              <a:solidFill>
                <a:schemeClr val="accent2"/>
              </a:solidFill>
              <a:ln>
                <a:solidFill>
                  <a:schemeClr val="accent2"/>
                </a:solidFill>
              </a:ln>
            </c:spPr>
          </c:marker>
          <c:cat>
            <c:numRef>
              <c:f>'смедеревска паланка-G5'!$A$2:$A$12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'смедеревска паланка-G5'!$C$2:$C$12</c:f>
              <c:numCache>
                <c:formatCode>General</c:formatCode>
                <c:ptCount val="11"/>
                <c:pt idx="0">
                  <c:v>96.6</c:v>
                </c:pt>
                <c:pt idx="1">
                  <c:v>96.2</c:v>
                </c:pt>
                <c:pt idx="2">
                  <c:v>99.9</c:v>
                </c:pt>
                <c:pt idx="3">
                  <c:v>97.5</c:v>
                </c:pt>
                <c:pt idx="4">
                  <c:v>97.7</c:v>
                </c:pt>
                <c:pt idx="5">
                  <c:v>97.4</c:v>
                </c:pt>
                <c:pt idx="6">
                  <c:v>96.6</c:v>
                </c:pt>
                <c:pt idx="7">
                  <c:v>96.5</c:v>
                </c:pt>
                <c:pt idx="8">
                  <c:v>95.3</c:v>
                </c:pt>
                <c:pt idx="9">
                  <c:v>95.8</c:v>
                </c:pt>
                <c:pt idx="10">
                  <c:v>96</c:v>
                </c:pt>
              </c:numCache>
            </c:numRef>
          </c:val>
          <c:smooth val="0"/>
          <c:extLst>
            <c:ext xmlns:c16="http://schemas.microsoft.com/office/drawing/2014/chart" uri="{C3380CC4-5D6E-409C-BE32-E72D297353CC}">
              <c16:uniqueId val="{00000001-7564-1A4F-B07E-B6D82C1F3CF1}"/>
            </c:ext>
          </c:extLst>
        </c:ser>
        <c:ser>
          <c:idx val="2"/>
          <c:order val="2"/>
          <c:tx>
            <c:strRef>
              <c:f>'смедеревска паланка-G5'!$D$1</c:f>
              <c:strCache>
                <c:ptCount val="1"/>
                <c:pt idx="0">
                  <c:v>Смедеревска Паланка</c:v>
                </c:pt>
              </c:strCache>
            </c:strRef>
          </c:tx>
          <c:spPr>
            <a:ln>
              <a:solidFill>
                <a:schemeClr val="accent1">
                  <a:lumMod val="75000"/>
                </a:schemeClr>
              </a:solidFill>
            </a:ln>
          </c:spPr>
          <c:marker>
            <c:symbol val="circle"/>
            <c:size val="7"/>
            <c:spPr>
              <a:solidFill>
                <a:schemeClr val="accent1">
                  <a:lumMod val="75000"/>
                </a:schemeClr>
              </a:solidFill>
              <a:ln>
                <a:solidFill>
                  <a:schemeClr val="tx1">
                    <a:lumMod val="50000"/>
                    <a:lumOff val="50000"/>
                  </a:schemeClr>
                </a:solidFill>
              </a:ln>
            </c:spPr>
          </c:marker>
          <c:dLbls>
            <c:dLbl>
              <c:idx val="1"/>
              <c:layout>
                <c:manualLayout>
                  <c:x val="-6.9444444444444489E-2"/>
                  <c:y val="3.00438593032663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564-1A4F-B07E-B6D82C1F3CF1}"/>
                </c:ext>
              </c:extLst>
            </c:dLbl>
            <c:dLbl>
              <c:idx val="8"/>
              <c:layout>
                <c:manualLayout>
                  <c:x val="2.7777777777777822E-3"/>
                  <c:y val="1.50219296516331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564-1A4F-B07E-B6D82C1F3CF1}"/>
                </c:ext>
              </c:extLst>
            </c:dLbl>
            <c:spPr>
              <a:noFill/>
              <a:ln>
                <a:noFill/>
              </a:ln>
              <a:effectLst/>
            </c:spPr>
            <c:txPr>
              <a:bodyPr/>
              <a:lstStyle/>
              <a:p>
                <a:pPr>
                  <a:defRPr b="1">
                    <a:solidFill>
                      <a:schemeClr val="accent1">
                        <a:lumMod val="75000"/>
                      </a:schemeClr>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'смедеревска паланка-G5'!$A$2:$A$12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'смедеревска паланка-G5'!$D$2:$D$12</c:f>
              <c:numCache>
                <c:formatCode>General</c:formatCode>
                <c:ptCount val="11"/>
                <c:pt idx="0">
                  <c:v>99.3</c:v>
                </c:pt>
                <c:pt idx="1">
                  <c:v>99</c:v>
                </c:pt>
                <c:pt idx="2">
                  <c:v>102.1</c:v>
                </c:pt>
                <c:pt idx="3">
                  <c:v>98.2</c:v>
                </c:pt>
                <c:pt idx="4">
                  <c:v>98.5</c:v>
                </c:pt>
                <c:pt idx="5">
                  <c:v>98.3</c:v>
                </c:pt>
                <c:pt idx="6">
                  <c:v>97.9</c:v>
                </c:pt>
                <c:pt idx="7">
                  <c:v>97</c:v>
                </c:pt>
                <c:pt idx="8">
                  <c:v>94.9</c:v>
                </c:pt>
                <c:pt idx="9">
                  <c:v>95.5</c:v>
                </c:pt>
                <c:pt idx="10">
                  <c:v>96.5</c:v>
                </c:pt>
              </c:numCache>
            </c:numRef>
          </c:val>
          <c:smooth val="0"/>
          <c:extLst>
            <c:ext xmlns:c16="http://schemas.microsoft.com/office/drawing/2014/chart" uri="{C3380CC4-5D6E-409C-BE32-E72D297353CC}">
              <c16:uniqueId val="{00000004-7564-1A4F-B07E-B6D82C1F3CF1}"/>
            </c:ext>
          </c:extLst>
        </c:ser>
        <c:dLbls>
          <c:showLegendKey val="0"/>
          <c:showVal val="0"/>
          <c:showCatName val="0"/>
          <c:showSerName val="0"/>
          <c:showPercent val="0"/>
          <c:showBubbleSize val="0"/>
        </c:dLbls>
        <c:marker val="1"/>
        <c:smooth val="0"/>
        <c:axId val="89813760"/>
        <c:axId val="89816064"/>
      </c:lineChart>
      <c:catAx>
        <c:axId val="89813760"/>
        <c:scaling>
          <c:orientation val="minMax"/>
        </c:scaling>
        <c:delete val="0"/>
        <c:axPos val="b"/>
        <c:numFmt formatCode="General" sourceLinked="1"/>
        <c:majorTickMark val="out"/>
        <c:minorTickMark val="none"/>
        <c:tickLblPos val="nextTo"/>
        <c:spPr>
          <a:ln>
            <a:noFill/>
          </a:ln>
        </c:spPr>
        <c:txPr>
          <a:bodyPr/>
          <a:lstStyle/>
          <a:p>
            <a:pPr>
              <a:defRPr>
                <a:solidFill>
                  <a:schemeClr val="tx1">
                    <a:lumMod val="50000"/>
                    <a:lumOff val="50000"/>
                  </a:schemeClr>
                </a:solidFill>
              </a:defRPr>
            </a:pPr>
            <a:endParaRPr lang="en-US"/>
          </a:p>
        </c:txPr>
        <c:crossAx val="89816064"/>
        <c:crosses val="autoZero"/>
        <c:auto val="1"/>
        <c:lblAlgn val="ctr"/>
        <c:lblOffset val="100"/>
        <c:noMultiLvlLbl val="0"/>
      </c:catAx>
      <c:valAx>
        <c:axId val="89816064"/>
        <c:scaling>
          <c:orientation val="minMax"/>
          <c:min val="92"/>
        </c:scaling>
        <c:delete val="0"/>
        <c:axPos val="l"/>
        <c:majorGridlines>
          <c:spPr>
            <a:ln>
              <a:solidFill>
                <a:schemeClr val="bg1">
                  <a:lumMod val="85000"/>
                </a:schemeClr>
              </a:solidFill>
            </a:ln>
          </c:spPr>
        </c:majorGridlines>
        <c:numFmt formatCode="General" sourceLinked="1"/>
        <c:majorTickMark val="out"/>
        <c:minorTickMark val="none"/>
        <c:tickLblPos val="nextTo"/>
        <c:spPr>
          <a:ln>
            <a:noFill/>
          </a:ln>
        </c:spPr>
        <c:txPr>
          <a:bodyPr/>
          <a:lstStyle/>
          <a:p>
            <a:pPr>
              <a:defRPr>
                <a:solidFill>
                  <a:schemeClr val="tx1">
                    <a:lumMod val="50000"/>
                    <a:lumOff val="50000"/>
                  </a:schemeClr>
                </a:solidFill>
              </a:defRPr>
            </a:pPr>
            <a:endParaRPr lang="en-US"/>
          </a:p>
        </c:txPr>
        <c:crossAx val="89813760"/>
        <c:crosses val="autoZero"/>
        <c:crossBetween val="between"/>
        <c:majorUnit val="2"/>
      </c:valAx>
    </c:plotArea>
    <c:legend>
      <c:legendPos val="b"/>
      <c:layout>
        <c:manualLayout>
          <c:xMode val="edge"/>
          <c:yMode val="edge"/>
          <c:x val="6.2258311461067369E-2"/>
          <c:y val="0.88850482484615356"/>
          <c:w val="0.87548337707786517"/>
          <c:h val="0.11149517515384577"/>
        </c:manualLayout>
      </c:layout>
      <c:overlay val="0"/>
      <c:txPr>
        <a:bodyPr/>
        <a:lstStyle/>
        <a:p>
          <a:pPr>
            <a:defRPr>
              <a:solidFill>
                <a:schemeClr val="tx1">
                  <a:lumMod val="50000"/>
                  <a:lumOff val="50000"/>
                </a:schemeClr>
              </a:solidFill>
            </a:defRPr>
          </a:pPr>
          <a:endParaRPr lang="en-US"/>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1"/>
          <c:tx>
            <c:strRef>
              <c:f>'смедеревска паланка-G6'!$C$1</c:f>
              <c:strCache>
                <c:ptCount val="1"/>
                <c:pt idx="0">
                  <c:v>Подунавска област</c:v>
                </c:pt>
              </c:strCache>
            </c:strRef>
          </c:tx>
          <c:spPr>
            <a:solidFill>
              <a:schemeClr val="accent2"/>
            </a:solidFill>
          </c:spPr>
          <c:invertIfNegative val="0"/>
          <c:cat>
            <c:numRef>
              <c:f>'смедеревска паланка-G6'!$A$2:$A$12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'смедеревска паланка-G6'!$C$2:$C$12</c:f>
              <c:numCache>
                <c:formatCode>General</c:formatCode>
                <c:ptCount val="11"/>
                <c:pt idx="0">
                  <c:v>0.4</c:v>
                </c:pt>
                <c:pt idx="1">
                  <c:v>0.2</c:v>
                </c:pt>
                <c:pt idx="2">
                  <c:v>0.30000000000000016</c:v>
                </c:pt>
                <c:pt idx="3">
                  <c:v>0.2</c:v>
                </c:pt>
                <c:pt idx="4">
                  <c:v>0.2</c:v>
                </c:pt>
                <c:pt idx="5">
                  <c:v>0.5</c:v>
                </c:pt>
                <c:pt idx="6">
                  <c:v>0.8</c:v>
                </c:pt>
                <c:pt idx="7">
                  <c:v>0.30000000000000016</c:v>
                </c:pt>
                <c:pt idx="8">
                  <c:v>0.5</c:v>
                </c:pt>
                <c:pt idx="9">
                  <c:v>0.9</c:v>
                </c:pt>
                <c:pt idx="10">
                  <c:v>0.5</c:v>
                </c:pt>
              </c:numCache>
            </c:numRef>
          </c:val>
          <c:extLst>
            <c:ext xmlns:c16="http://schemas.microsoft.com/office/drawing/2014/chart" uri="{C3380CC4-5D6E-409C-BE32-E72D297353CC}">
              <c16:uniqueId val="{00000000-174D-AB43-AAA4-DABA1553289D}"/>
            </c:ext>
          </c:extLst>
        </c:ser>
        <c:ser>
          <c:idx val="2"/>
          <c:order val="2"/>
          <c:tx>
            <c:strRef>
              <c:f>'смедеревска паланка-G6'!$D$1</c:f>
              <c:strCache>
                <c:ptCount val="1"/>
                <c:pt idx="0">
                  <c:v>Смедеревска Паланка</c:v>
                </c:pt>
              </c:strCache>
            </c:strRef>
          </c:tx>
          <c:spPr>
            <a:solidFill>
              <a:schemeClr val="accent1">
                <a:lumMod val="75000"/>
              </a:schemeClr>
            </a:solidFill>
          </c:spPr>
          <c:invertIfNegative val="0"/>
          <c:dLbls>
            <c:dLbl>
              <c:idx val="1"/>
              <c:layout>
                <c:manualLayout>
                  <c:x val="2.1193110055851275E-17"/>
                  <c:y val="7.567120567104336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4D-AB43-AAA4-DABA1553289D}"/>
                </c:ext>
              </c:extLst>
            </c:dLbl>
            <c:dLbl>
              <c:idx val="4"/>
              <c:layout>
                <c:manualLayout>
                  <c:x val="2.3120023505964057E-3"/>
                  <c:y val="8.09566993215840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74D-AB43-AAA4-DABA1553289D}"/>
                </c:ext>
              </c:extLst>
            </c:dLbl>
            <c:dLbl>
              <c:idx val="10"/>
              <c:layout>
                <c:manualLayout>
                  <c:x val="0"/>
                  <c:y val="8.09566993215840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74D-AB43-AAA4-DABA1553289D}"/>
                </c:ext>
              </c:extLst>
            </c:dLbl>
            <c:spPr>
              <a:noFill/>
              <a:ln>
                <a:noFill/>
              </a:ln>
              <a:effectLst/>
            </c:spPr>
            <c:txPr>
              <a:bodyPr/>
              <a:lstStyle/>
              <a:p>
                <a:pPr>
                  <a:defRPr b="1">
                    <a:solidFill>
                      <a:schemeClr val="bg1"/>
                    </a:solidFill>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'смедеревска паланка-G6'!$A$2:$A$12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'смедеревска паланка-G6'!$D$2:$D$12</c:f>
              <c:numCache>
                <c:formatCode>General</c:formatCode>
                <c:ptCount val="11"/>
                <c:pt idx="0">
                  <c:v>0.4</c:v>
                </c:pt>
                <c:pt idx="1">
                  <c:v>0.2</c:v>
                </c:pt>
                <c:pt idx="2">
                  <c:v>0.60000000000000031</c:v>
                </c:pt>
                <c:pt idx="3">
                  <c:v>0.5</c:v>
                </c:pt>
                <c:pt idx="4">
                  <c:v>0.2</c:v>
                </c:pt>
                <c:pt idx="5">
                  <c:v>0</c:v>
                </c:pt>
                <c:pt idx="6">
                  <c:v>2.2999999999999998</c:v>
                </c:pt>
                <c:pt idx="7">
                  <c:v>0.70000000000000029</c:v>
                </c:pt>
                <c:pt idx="8">
                  <c:v>1</c:v>
                </c:pt>
                <c:pt idx="9">
                  <c:v>0.70000000000000029</c:v>
                </c:pt>
                <c:pt idx="10">
                  <c:v>0.2</c:v>
                </c:pt>
              </c:numCache>
            </c:numRef>
          </c:val>
          <c:extLst>
            <c:ext xmlns:c16="http://schemas.microsoft.com/office/drawing/2014/chart" uri="{C3380CC4-5D6E-409C-BE32-E72D297353CC}">
              <c16:uniqueId val="{00000004-174D-AB43-AAA4-DABA1553289D}"/>
            </c:ext>
          </c:extLst>
        </c:ser>
        <c:dLbls>
          <c:showLegendKey val="0"/>
          <c:showVal val="0"/>
          <c:showCatName val="0"/>
          <c:showSerName val="0"/>
          <c:showPercent val="0"/>
          <c:showBubbleSize val="0"/>
        </c:dLbls>
        <c:gapWidth val="75"/>
        <c:overlap val="-25"/>
        <c:axId val="114054656"/>
        <c:axId val="114075904"/>
      </c:barChart>
      <c:lineChart>
        <c:grouping val="standard"/>
        <c:varyColors val="0"/>
        <c:ser>
          <c:idx val="0"/>
          <c:order val="0"/>
          <c:tx>
            <c:strRef>
              <c:f>'смедеревска паланка-G6'!$B$1</c:f>
              <c:strCache>
                <c:ptCount val="1"/>
                <c:pt idx="0">
                  <c:v>СРБИЈА - ЈУГ</c:v>
                </c:pt>
              </c:strCache>
            </c:strRef>
          </c:tx>
          <c:spPr>
            <a:ln>
              <a:solidFill>
                <a:schemeClr val="bg1">
                  <a:lumMod val="75000"/>
                </a:schemeClr>
              </a:solidFill>
            </a:ln>
          </c:spPr>
          <c:marker>
            <c:symbol val="none"/>
          </c:marker>
          <c:cat>
            <c:numRef>
              <c:f>'смедеревска паланка-G6'!$A$2:$A$12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'смедеревска паланка-G6'!$B$2:$B$12</c:f>
              <c:numCache>
                <c:formatCode>General</c:formatCode>
                <c:ptCount val="11"/>
                <c:pt idx="0">
                  <c:v>0.4</c:v>
                </c:pt>
                <c:pt idx="1">
                  <c:v>1.1000000000000001</c:v>
                </c:pt>
                <c:pt idx="2">
                  <c:v>0.8</c:v>
                </c:pt>
                <c:pt idx="3">
                  <c:v>0.4</c:v>
                </c:pt>
                <c:pt idx="4">
                  <c:v>0.30000000000000016</c:v>
                </c:pt>
                <c:pt idx="5">
                  <c:v>0.5</c:v>
                </c:pt>
                <c:pt idx="6">
                  <c:v>0.5</c:v>
                </c:pt>
                <c:pt idx="7">
                  <c:v>0.30000000000000016</c:v>
                </c:pt>
                <c:pt idx="8">
                  <c:v>0.30000000000000016</c:v>
                </c:pt>
                <c:pt idx="9">
                  <c:v>0.60000000000000031</c:v>
                </c:pt>
                <c:pt idx="10">
                  <c:v>0.30000000000000016</c:v>
                </c:pt>
              </c:numCache>
            </c:numRef>
          </c:val>
          <c:smooth val="0"/>
          <c:extLst>
            <c:ext xmlns:c16="http://schemas.microsoft.com/office/drawing/2014/chart" uri="{C3380CC4-5D6E-409C-BE32-E72D297353CC}">
              <c16:uniqueId val="{00000005-174D-AB43-AAA4-DABA1553289D}"/>
            </c:ext>
          </c:extLst>
        </c:ser>
        <c:dLbls>
          <c:showLegendKey val="0"/>
          <c:showVal val="0"/>
          <c:showCatName val="0"/>
          <c:showSerName val="0"/>
          <c:showPercent val="0"/>
          <c:showBubbleSize val="0"/>
        </c:dLbls>
        <c:marker val="1"/>
        <c:smooth val="0"/>
        <c:axId val="114054656"/>
        <c:axId val="114075904"/>
      </c:lineChart>
      <c:catAx>
        <c:axId val="114054656"/>
        <c:scaling>
          <c:orientation val="minMax"/>
        </c:scaling>
        <c:delete val="0"/>
        <c:axPos val="b"/>
        <c:numFmt formatCode="General" sourceLinked="1"/>
        <c:majorTickMark val="none"/>
        <c:minorTickMark val="none"/>
        <c:tickLblPos val="nextTo"/>
        <c:txPr>
          <a:bodyPr/>
          <a:lstStyle/>
          <a:p>
            <a:pPr>
              <a:defRPr>
                <a:solidFill>
                  <a:schemeClr val="tx1">
                    <a:lumMod val="65000"/>
                    <a:lumOff val="35000"/>
                  </a:schemeClr>
                </a:solidFill>
              </a:defRPr>
            </a:pPr>
            <a:endParaRPr lang="en-US"/>
          </a:p>
        </c:txPr>
        <c:crossAx val="114075904"/>
        <c:crosses val="autoZero"/>
        <c:auto val="1"/>
        <c:lblAlgn val="ctr"/>
        <c:lblOffset val="100"/>
        <c:noMultiLvlLbl val="0"/>
      </c:catAx>
      <c:valAx>
        <c:axId val="114075904"/>
        <c:scaling>
          <c:orientation val="minMax"/>
          <c:max val="2.5"/>
        </c:scaling>
        <c:delete val="0"/>
        <c:axPos val="l"/>
        <c:majorGridlines>
          <c:spPr>
            <a:ln>
              <a:solidFill>
                <a:schemeClr val="bg1">
                  <a:lumMod val="85000"/>
                </a:schemeClr>
              </a:solidFill>
            </a:ln>
          </c:spPr>
        </c:majorGridlines>
        <c:numFmt formatCode="General" sourceLinked="1"/>
        <c:majorTickMark val="none"/>
        <c:minorTickMark val="none"/>
        <c:tickLblPos val="nextTo"/>
        <c:spPr>
          <a:ln>
            <a:noFill/>
          </a:ln>
        </c:spPr>
        <c:txPr>
          <a:bodyPr/>
          <a:lstStyle/>
          <a:p>
            <a:pPr>
              <a:defRPr>
                <a:solidFill>
                  <a:schemeClr val="tx1">
                    <a:lumMod val="65000"/>
                    <a:lumOff val="35000"/>
                  </a:schemeClr>
                </a:solidFill>
              </a:defRPr>
            </a:pPr>
            <a:endParaRPr lang="en-US"/>
          </a:p>
        </c:txPr>
        <c:crossAx val="114054656"/>
        <c:crosses val="autoZero"/>
        <c:crossBetween val="between"/>
        <c:majorUnit val="0.5"/>
      </c:valAx>
      <c:spPr>
        <a:ln>
          <a:noFill/>
        </a:ln>
      </c:spPr>
    </c:plotArea>
    <c:legend>
      <c:legendPos val="b"/>
      <c:overlay val="0"/>
      <c:txPr>
        <a:bodyPr/>
        <a:lstStyle/>
        <a:p>
          <a:pPr>
            <a:defRPr>
              <a:solidFill>
                <a:schemeClr val="tx1">
                  <a:lumMod val="65000"/>
                  <a:lumOff val="35000"/>
                </a:schemeClr>
              </a:solidFill>
            </a:defRPr>
          </a:pPr>
          <a:endParaRPr lang="en-US"/>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txPr>
              <a:bodyPr/>
              <a:lstStyle/>
              <a:p>
                <a:pPr>
                  <a:defRPr b="1">
                    <a:solidFill>
                      <a:schemeClr val="bg1"/>
                    </a:solidFill>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'смедеревска паланка-G7'!$B$7:$D$7</c:f>
              <c:strCache>
                <c:ptCount val="3"/>
                <c:pt idx="0">
                  <c:v>СРБИЈА - ЈУГ</c:v>
                </c:pt>
                <c:pt idx="1">
                  <c:v>Подунавска област</c:v>
                </c:pt>
                <c:pt idx="2">
                  <c:v>Смедеревска Паланка</c:v>
                </c:pt>
              </c:strCache>
            </c:strRef>
          </c:cat>
          <c:val>
            <c:numRef>
              <c:f>'смедеревска паланка-G7'!$B$8:$D$8</c:f>
              <c:numCache>
                <c:formatCode>0.00</c:formatCode>
                <c:ptCount val="3"/>
                <c:pt idx="0">
                  <c:v>96.566666666666663</c:v>
                </c:pt>
                <c:pt idx="1">
                  <c:v>96.8</c:v>
                </c:pt>
                <c:pt idx="2">
                  <c:v>99.966666666666697</c:v>
                </c:pt>
              </c:numCache>
            </c:numRef>
          </c:val>
          <c:extLst>
            <c:ext xmlns:c16="http://schemas.microsoft.com/office/drawing/2014/chart" uri="{C3380CC4-5D6E-409C-BE32-E72D297353CC}">
              <c16:uniqueId val="{00000000-F4B3-6847-90F1-7B9674892B38}"/>
            </c:ext>
          </c:extLst>
        </c:ser>
        <c:dLbls>
          <c:showLegendKey val="0"/>
          <c:showVal val="0"/>
          <c:showCatName val="0"/>
          <c:showSerName val="0"/>
          <c:showPercent val="0"/>
          <c:showBubbleSize val="0"/>
        </c:dLbls>
        <c:gapWidth val="150"/>
        <c:axId val="121366784"/>
        <c:axId val="91894912"/>
      </c:barChart>
      <c:catAx>
        <c:axId val="121366784"/>
        <c:scaling>
          <c:orientation val="minMax"/>
        </c:scaling>
        <c:delete val="0"/>
        <c:axPos val="b"/>
        <c:numFmt formatCode="General" sourceLinked="1"/>
        <c:majorTickMark val="out"/>
        <c:minorTickMark val="none"/>
        <c:tickLblPos val="nextTo"/>
        <c:spPr>
          <a:ln>
            <a:solidFill>
              <a:schemeClr val="tx1">
                <a:lumMod val="50000"/>
                <a:lumOff val="50000"/>
              </a:schemeClr>
            </a:solidFill>
          </a:ln>
        </c:spPr>
        <c:txPr>
          <a:bodyPr/>
          <a:lstStyle/>
          <a:p>
            <a:pPr>
              <a:defRPr>
                <a:solidFill>
                  <a:schemeClr val="tx1">
                    <a:lumMod val="65000"/>
                    <a:lumOff val="35000"/>
                  </a:schemeClr>
                </a:solidFill>
              </a:defRPr>
            </a:pPr>
            <a:endParaRPr lang="en-US"/>
          </a:p>
        </c:txPr>
        <c:crossAx val="91894912"/>
        <c:crosses val="autoZero"/>
        <c:auto val="1"/>
        <c:lblAlgn val="ctr"/>
        <c:lblOffset val="100"/>
        <c:noMultiLvlLbl val="0"/>
      </c:catAx>
      <c:valAx>
        <c:axId val="91894912"/>
        <c:scaling>
          <c:orientation val="minMax"/>
        </c:scaling>
        <c:delete val="1"/>
        <c:axPos val="l"/>
        <c:numFmt formatCode="0" sourceLinked="0"/>
        <c:majorTickMark val="out"/>
        <c:minorTickMark val="none"/>
        <c:tickLblPos val="none"/>
        <c:crossAx val="121366784"/>
        <c:crosses val="autoZero"/>
        <c:crossBetween val="between"/>
      </c:val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1"/>
          <c:tx>
            <c:strRef>
              <c:f>'смедеревска паланка-G8'!$C$1</c:f>
              <c:strCache>
                <c:ptCount val="1"/>
                <c:pt idx="0">
                  <c:v>Подунавска област</c:v>
                </c:pt>
              </c:strCache>
            </c:strRef>
          </c:tx>
          <c:spPr>
            <a:solidFill>
              <a:schemeClr val="accent2"/>
            </a:solidFill>
          </c:spPr>
          <c:invertIfNegative val="0"/>
          <c:cat>
            <c:numRef>
              <c:f>'смедеревска паланка-G8'!$A$2:$A$12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'смедеревска паланка-G8'!$C$2:$C$12</c:f>
              <c:numCache>
                <c:formatCode>General</c:formatCode>
                <c:ptCount val="11"/>
                <c:pt idx="0">
                  <c:v>1.1000000000000001</c:v>
                </c:pt>
                <c:pt idx="1">
                  <c:v>1.3</c:v>
                </c:pt>
                <c:pt idx="2">
                  <c:v>1.3</c:v>
                </c:pt>
                <c:pt idx="3">
                  <c:v>0.2</c:v>
                </c:pt>
                <c:pt idx="4">
                  <c:v>-0.1</c:v>
                </c:pt>
                <c:pt idx="5">
                  <c:v>1.1000000000000001</c:v>
                </c:pt>
                <c:pt idx="6">
                  <c:v>1.2</c:v>
                </c:pt>
                <c:pt idx="7">
                  <c:v>1.3</c:v>
                </c:pt>
                <c:pt idx="8">
                  <c:v>1.2</c:v>
                </c:pt>
                <c:pt idx="9">
                  <c:v>1.1000000000000001</c:v>
                </c:pt>
                <c:pt idx="10">
                  <c:v>0.8</c:v>
                </c:pt>
              </c:numCache>
            </c:numRef>
          </c:val>
          <c:extLst>
            <c:ext xmlns:c16="http://schemas.microsoft.com/office/drawing/2014/chart" uri="{C3380CC4-5D6E-409C-BE32-E72D297353CC}">
              <c16:uniqueId val="{00000000-7B52-B045-B2AF-894529F13965}"/>
            </c:ext>
          </c:extLst>
        </c:ser>
        <c:ser>
          <c:idx val="2"/>
          <c:order val="2"/>
          <c:tx>
            <c:strRef>
              <c:f>'смедеревска паланка-G8'!$D$1</c:f>
              <c:strCache>
                <c:ptCount val="1"/>
                <c:pt idx="0">
                  <c:v>Смедеревска Паланка</c:v>
                </c:pt>
              </c:strCache>
            </c:strRef>
          </c:tx>
          <c:spPr>
            <a:solidFill>
              <a:schemeClr val="accent1">
                <a:lumMod val="75000"/>
              </a:schemeClr>
            </a:solidFill>
          </c:spPr>
          <c:invertIfNegative val="0"/>
          <c:dLbls>
            <c:dLbl>
              <c:idx val="9"/>
              <c:layout>
                <c:manualLayout>
                  <c:x val="6.1633281972265034E-3"/>
                  <c:y val="0.10911510312707925"/>
                </c:manualLayout>
              </c:layout>
              <c:spPr/>
              <c:txPr>
                <a:bodyPr/>
                <a:lstStyle/>
                <a:p>
                  <a:pPr>
                    <a:defRPr b="0">
                      <a:solidFill>
                        <a:sysClr val="windowText" lastClr="000000"/>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52-B045-B2AF-894529F13965}"/>
                </c:ext>
              </c:extLst>
            </c:dLbl>
            <c:spPr>
              <a:noFill/>
              <a:ln>
                <a:noFill/>
              </a:ln>
              <a:effectLst/>
            </c:spPr>
            <c:txPr>
              <a:bodyPr/>
              <a:lstStyle/>
              <a:p>
                <a:pPr>
                  <a:defRPr b="1">
                    <a:solidFill>
                      <a:schemeClr val="bg1"/>
                    </a:solidFill>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'смедеревска паланка-G8'!$A$2:$A$12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'смедеревска паланка-G8'!$D$2:$D$12</c:f>
              <c:numCache>
                <c:formatCode>General</c:formatCode>
                <c:ptCount val="11"/>
                <c:pt idx="0">
                  <c:v>0.60000000000000031</c:v>
                </c:pt>
                <c:pt idx="1">
                  <c:v>0.8</c:v>
                </c:pt>
                <c:pt idx="2">
                  <c:v>1</c:v>
                </c:pt>
                <c:pt idx="3">
                  <c:v>0</c:v>
                </c:pt>
                <c:pt idx="4">
                  <c:v>0</c:v>
                </c:pt>
                <c:pt idx="5">
                  <c:v>0</c:v>
                </c:pt>
                <c:pt idx="6">
                  <c:v>0</c:v>
                </c:pt>
                <c:pt idx="7">
                  <c:v>0</c:v>
                </c:pt>
                <c:pt idx="8">
                  <c:v>0</c:v>
                </c:pt>
                <c:pt idx="9">
                  <c:v>-0.1</c:v>
                </c:pt>
                <c:pt idx="10">
                  <c:v>0</c:v>
                </c:pt>
              </c:numCache>
            </c:numRef>
          </c:val>
          <c:extLst>
            <c:ext xmlns:c16="http://schemas.microsoft.com/office/drawing/2014/chart" uri="{C3380CC4-5D6E-409C-BE32-E72D297353CC}">
              <c16:uniqueId val="{00000002-7B52-B045-B2AF-894529F13965}"/>
            </c:ext>
          </c:extLst>
        </c:ser>
        <c:dLbls>
          <c:showLegendKey val="0"/>
          <c:showVal val="0"/>
          <c:showCatName val="0"/>
          <c:showSerName val="0"/>
          <c:showPercent val="0"/>
          <c:showBubbleSize val="0"/>
        </c:dLbls>
        <c:gapWidth val="75"/>
        <c:overlap val="-25"/>
        <c:axId val="102243712"/>
        <c:axId val="102265984"/>
      </c:barChart>
      <c:lineChart>
        <c:grouping val="standard"/>
        <c:varyColors val="0"/>
        <c:ser>
          <c:idx val="0"/>
          <c:order val="0"/>
          <c:tx>
            <c:strRef>
              <c:f>'смедеревска паланка-G8'!$B$1</c:f>
              <c:strCache>
                <c:ptCount val="1"/>
                <c:pt idx="0">
                  <c:v>СРБИЈА - ЈУГ</c:v>
                </c:pt>
              </c:strCache>
            </c:strRef>
          </c:tx>
          <c:spPr>
            <a:ln>
              <a:solidFill>
                <a:schemeClr val="bg1">
                  <a:lumMod val="75000"/>
                </a:schemeClr>
              </a:solidFill>
            </a:ln>
          </c:spPr>
          <c:marker>
            <c:symbol val="none"/>
          </c:marker>
          <c:cat>
            <c:numRef>
              <c:f>'смедеревска паланка-G8'!$A$2:$A$12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'смедеревска паланка-G8'!$B$2:$B$12</c:f>
              <c:numCache>
                <c:formatCode>General</c:formatCode>
                <c:ptCount val="11"/>
                <c:pt idx="0">
                  <c:v>1.3</c:v>
                </c:pt>
                <c:pt idx="1">
                  <c:v>1.3</c:v>
                </c:pt>
                <c:pt idx="2">
                  <c:v>1.5</c:v>
                </c:pt>
                <c:pt idx="3">
                  <c:v>1.5</c:v>
                </c:pt>
                <c:pt idx="4">
                  <c:v>1.3</c:v>
                </c:pt>
                <c:pt idx="5">
                  <c:v>1</c:v>
                </c:pt>
                <c:pt idx="6">
                  <c:v>1</c:v>
                </c:pt>
                <c:pt idx="7">
                  <c:v>1.2</c:v>
                </c:pt>
                <c:pt idx="8">
                  <c:v>1.2</c:v>
                </c:pt>
                <c:pt idx="9">
                  <c:v>1</c:v>
                </c:pt>
                <c:pt idx="10">
                  <c:v>0.60000000000000031</c:v>
                </c:pt>
              </c:numCache>
            </c:numRef>
          </c:val>
          <c:smooth val="0"/>
          <c:extLst>
            <c:ext xmlns:c16="http://schemas.microsoft.com/office/drawing/2014/chart" uri="{C3380CC4-5D6E-409C-BE32-E72D297353CC}">
              <c16:uniqueId val="{00000003-7B52-B045-B2AF-894529F13965}"/>
            </c:ext>
          </c:extLst>
        </c:ser>
        <c:dLbls>
          <c:showLegendKey val="0"/>
          <c:showVal val="0"/>
          <c:showCatName val="0"/>
          <c:showSerName val="0"/>
          <c:showPercent val="0"/>
          <c:showBubbleSize val="0"/>
        </c:dLbls>
        <c:marker val="1"/>
        <c:smooth val="0"/>
        <c:axId val="102243712"/>
        <c:axId val="102265984"/>
      </c:lineChart>
      <c:catAx>
        <c:axId val="102243712"/>
        <c:scaling>
          <c:orientation val="minMax"/>
        </c:scaling>
        <c:delete val="0"/>
        <c:axPos val="b"/>
        <c:numFmt formatCode="General" sourceLinked="1"/>
        <c:majorTickMark val="none"/>
        <c:minorTickMark val="none"/>
        <c:tickLblPos val="nextTo"/>
        <c:txPr>
          <a:bodyPr/>
          <a:lstStyle/>
          <a:p>
            <a:pPr>
              <a:defRPr>
                <a:solidFill>
                  <a:schemeClr val="bg2">
                    <a:lumMod val="25000"/>
                  </a:schemeClr>
                </a:solidFill>
              </a:defRPr>
            </a:pPr>
            <a:endParaRPr lang="en-US"/>
          </a:p>
        </c:txPr>
        <c:crossAx val="102265984"/>
        <c:crosses val="autoZero"/>
        <c:auto val="1"/>
        <c:lblAlgn val="ctr"/>
        <c:lblOffset val="100"/>
        <c:noMultiLvlLbl val="0"/>
      </c:catAx>
      <c:valAx>
        <c:axId val="102265984"/>
        <c:scaling>
          <c:orientation val="minMax"/>
        </c:scaling>
        <c:delete val="0"/>
        <c:axPos val="l"/>
        <c:majorGridlines>
          <c:spPr>
            <a:ln>
              <a:solidFill>
                <a:schemeClr val="bg1">
                  <a:lumMod val="85000"/>
                </a:schemeClr>
              </a:solidFill>
            </a:ln>
          </c:spPr>
        </c:majorGridlines>
        <c:numFmt formatCode="General" sourceLinked="1"/>
        <c:majorTickMark val="none"/>
        <c:minorTickMark val="none"/>
        <c:tickLblPos val="nextTo"/>
        <c:spPr>
          <a:ln>
            <a:noFill/>
          </a:ln>
        </c:spPr>
        <c:txPr>
          <a:bodyPr/>
          <a:lstStyle/>
          <a:p>
            <a:pPr>
              <a:defRPr>
                <a:solidFill>
                  <a:schemeClr val="bg2">
                    <a:lumMod val="25000"/>
                  </a:schemeClr>
                </a:solidFill>
              </a:defRPr>
            </a:pPr>
            <a:endParaRPr lang="en-US"/>
          </a:p>
        </c:txPr>
        <c:crossAx val="102243712"/>
        <c:crosses val="autoZero"/>
        <c:crossBetween val="between"/>
      </c:valAx>
    </c:plotArea>
    <c:legend>
      <c:legendPos val="b"/>
      <c:overlay val="0"/>
      <c:txPr>
        <a:bodyPr/>
        <a:lstStyle/>
        <a:p>
          <a:pPr>
            <a:defRPr>
              <a:solidFill>
                <a:schemeClr val="bg2">
                  <a:lumMod val="25000"/>
                </a:schemeClr>
              </a:solidFill>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1A336CCEFF214494797E5BB79162B8" ma:contentTypeVersion="12" ma:contentTypeDescription="Create a new document." ma:contentTypeScope="" ma:versionID="79008e3f376eaef897f4c7a7fa3ad5aa">
  <xsd:schema xmlns:xsd="http://www.w3.org/2001/XMLSchema" xmlns:xs="http://www.w3.org/2001/XMLSchema" xmlns:p="http://schemas.microsoft.com/office/2006/metadata/properties" xmlns:ns2="63dd2753-8875-4d2e-8ba6-fd14822bbc7a" xmlns:ns3="01978329-ac0a-4147-87e8-31313703e7e2" targetNamespace="http://schemas.microsoft.com/office/2006/metadata/properties" ma:root="true" ma:fieldsID="a07209d5f07374f1af59ead9b161cd38" ns2:_="" ns3:_="">
    <xsd:import namespace="63dd2753-8875-4d2e-8ba6-fd14822bbc7a"/>
    <xsd:import namespace="01978329-ac0a-4147-87e8-31313703e7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d2753-8875-4d2e-8ba6-fd14822bb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978329-ac0a-4147-87e8-31313703e7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1E121-188A-4F5D-B0F4-488215E9A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d2753-8875-4d2e-8ba6-fd14822bbc7a"/>
    <ds:schemaRef ds:uri="01978329-ac0a-4147-87e8-31313703e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3E787-0C08-46BE-923C-FA8059F6140F}">
  <ds:schemaRefs>
    <ds:schemaRef ds:uri="http://schemas.microsoft.com/sharepoint/v3/contenttype/forms"/>
  </ds:schemaRefs>
</ds:datastoreItem>
</file>

<file path=customXml/itemProps3.xml><?xml version="1.0" encoding="utf-8"?>
<ds:datastoreItem xmlns:ds="http://schemas.openxmlformats.org/officeDocument/2006/customXml" ds:itemID="{2BD44FDA-2663-4CA7-8B6A-B2C0618D1E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8AF3DD-5895-054B-87E3-B463F15A6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3914</Words>
  <Characters>22311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Stanic</dc:creator>
  <cp:lastModifiedBy>Katarina Stanic</cp:lastModifiedBy>
  <cp:revision>3</cp:revision>
  <dcterms:created xsi:type="dcterms:W3CDTF">2022-11-08T12:40:00Z</dcterms:created>
  <dcterms:modified xsi:type="dcterms:W3CDTF">2022-11-08T12:59:00Z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0x010100B61A336CCEFF214494797E5BB79162B8</vt:lpwstr>
  </property>
</Properties>
</file>