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8CFF2" w14:textId="69DB0FC7" w:rsidR="007327A7" w:rsidRPr="007327A7" w:rsidRDefault="00562899" w:rsidP="007327A7">
      <w:pPr>
        <w:spacing w:after="160" w:line="259" w:lineRule="auto"/>
        <w:jc w:val="center"/>
        <w:rPr>
          <w:rFonts w:ascii="Tahoma" w:hAnsi="Tahoma" w:cs="Tahoma"/>
          <w:b/>
          <w:bCs/>
          <w:color w:val="2F5496" w:themeColor="accent1" w:themeShade="BF"/>
          <w:sz w:val="32"/>
          <w:szCs w:val="32"/>
          <w:lang w:val="sr-Cyrl-RS"/>
        </w:rPr>
      </w:pPr>
      <w:bookmarkStart w:id="0" w:name="OLE_LINK1"/>
      <w:bookmarkStart w:id="1" w:name="OLE_LINK2"/>
      <w:r>
        <w:rPr>
          <w:rFonts w:ascii="Tahoma" w:hAnsi="Tahoma" w:cs="Tahoma"/>
          <w:b/>
          <w:bCs/>
          <w:color w:val="2F5496" w:themeColor="accent1" w:themeShade="BF"/>
          <w:sz w:val="32"/>
          <w:szCs w:val="32"/>
          <w:lang w:val="sr-Cyrl-RS"/>
        </w:rPr>
        <w:t>Смедеревс</w:t>
      </w:r>
      <w:r w:rsidR="00270737">
        <w:rPr>
          <w:rFonts w:ascii="Tahoma" w:hAnsi="Tahoma" w:cs="Tahoma"/>
          <w:b/>
          <w:bCs/>
          <w:color w:val="2F5496" w:themeColor="accent1" w:themeShade="BF"/>
          <w:sz w:val="32"/>
          <w:szCs w:val="32"/>
          <w:lang w:val="sr-Cyrl-RS"/>
        </w:rPr>
        <w:t>к</w:t>
      </w:r>
      <w:r>
        <w:rPr>
          <w:rFonts w:ascii="Tahoma" w:hAnsi="Tahoma" w:cs="Tahoma"/>
          <w:b/>
          <w:bCs/>
          <w:color w:val="2F5496" w:themeColor="accent1" w:themeShade="BF"/>
          <w:sz w:val="32"/>
          <w:szCs w:val="32"/>
          <w:lang w:val="sr-Cyrl-RS"/>
        </w:rPr>
        <w:t>а Паланка</w:t>
      </w:r>
    </w:p>
    <w:p w14:paraId="2BB4600B" w14:textId="5251CB35" w:rsidR="002D2DF7" w:rsidRDefault="002D2DF7" w:rsidP="007327A7">
      <w:pPr>
        <w:spacing w:after="160" w:line="259" w:lineRule="auto"/>
        <w:jc w:val="center"/>
        <w:rPr>
          <w:rStyle w:val="Heading1Char"/>
          <w:rFonts w:ascii="Tahoma" w:hAnsi="Tahoma" w:cs="Tahoma"/>
          <w:color w:val="2F5496"/>
          <w:w w:val="110"/>
          <w:lang w:val="sr-Cyrl-RS"/>
        </w:rPr>
      </w:pPr>
      <w:r w:rsidRPr="002D2DF7">
        <w:rPr>
          <w:rStyle w:val="Heading1Char"/>
          <w:rFonts w:ascii="Tahoma" w:hAnsi="Tahoma" w:cs="Tahoma"/>
          <w:color w:val="2F5496"/>
          <w:w w:val="110"/>
          <w:lang w:val="sr-Cyrl-RS"/>
        </w:rPr>
        <w:t>Социјална и здравствена заштита</w:t>
      </w:r>
    </w:p>
    <w:p w14:paraId="26ED94E2" w14:textId="77777777" w:rsidR="00973D19" w:rsidRPr="002D2DF7" w:rsidRDefault="00973D19" w:rsidP="007327A7">
      <w:pPr>
        <w:spacing w:after="160" w:line="259" w:lineRule="auto"/>
        <w:jc w:val="center"/>
        <w:rPr>
          <w:rFonts w:ascii="Tahoma" w:hAnsi="Tahoma" w:cs="Tahoma"/>
          <w:color w:val="2F5496" w:themeColor="accent1" w:themeShade="BF"/>
          <w:w w:val="110"/>
          <w:sz w:val="32"/>
          <w:szCs w:val="32"/>
          <w:lang w:val="sr-Cyrl-RS"/>
        </w:rPr>
      </w:pPr>
    </w:p>
    <w:p w14:paraId="52E3E53C" w14:textId="58862353" w:rsidR="0061034E" w:rsidRPr="00C02E5C" w:rsidRDefault="0061034E" w:rsidP="007327A7">
      <w:pPr>
        <w:pStyle w:val="Heading1"/>
        <w:spacing w:before="0" w:after="160" w:line="259" w:lineRule="auto"/>
        <w:jc w:val="both"/>
        <w:rPr>
          <w:rFonts w:ascii="Tahoma" w:hAnsi="Tahoma" w:cs="Tahoma"/>
          <w:b/>
          <w:bCs/>
          <w:color w:val="2F5496"/>
          <w:sz w:val="28"/>
          <w:szCs w:val="28"/>
          <w:lang w:val="sr-Cyrl-RS"/>
        </w:rPr>
      </w:pPr>
      <w:r w:rsidRPr="00C02E5C">
        <w:rPr>
          <w:rFonts w:ascii="Tahoma" w:hAnsi="Tahoma" w:cs="Tahoma"/>
          <w:b/>
          <w:bCs/>
          <w:color w:val="2F5496"/>
          <w:lang w:val="sr-Cyrl-RS"/>
        </w:rPr>
        <w:t>С</w:t>
      </w:r>
      <w:r w:rsidR="00C02E5C" w:rsidRPr="00C02E5C">
        <w:rPr>
          <w:rFonts w:ascii="Tahoma" w:hAnsi="Tahoma" w:cs="Tahoma"/>
          <w:b/>
          <w:bCs/>
          <w:color w:val="2F5496"/>
          <w:lang w:val="sr-Cyrl-RS"/>
        </w:rPr>
        <w:t>оцијална заштита</w:t>
      </w:r>
      <w:r w:rsidR="00C02E5C" w:rsidRPr="00C02E5C">
        <w:rPr>
          <w:rFonts w:ascii="Tahoma" w:hAnsi="Tahoma" w:cs="Tahoma"/>
          <w:b/>
          <w:bCs/>
          <w:color w:val="2F5496"/>
          <w:sz w:val="28"/>
          <w:szCs w:val="28"/>
          <w:lang w:val="sr-Cyrl-RS"/>
        </w:rPr>
        <w:t xml:space="preserve"> </w:t>
      </w:r>
    </w:p>
    <w:p w14:paraId="604603A7" w14:textId="1874D362" w:rsidR="0061034E" w:rsidRPr="00C02E5C" w:rsidRDefault="0061034E" w:rsidP="007327A7">
      <w:pPr>
        <w:pStyle w:val="Heading2"/>
        <w:spacing w:before="0" w:after="160" w:line="259" w:lineRule="auto"/>
        <w:jc w:val="both"/>
        <w:rPr>
          <w:rFonts w:ascii="Tahoma" w:hAnsi="Tahoma" w:cs="Tahoma"/>
          <w:b/>
          <w:bCs/>
          <w:sz w:val="28"/>
          <w:szCs w:val="28"/>
          <w:lang w:val="sr-Cyrl-RS"/>
        </w:rPr>
      </w:pPr>
      <w:r w:rsidRPr="00C02E5C">
        <w:rPr>
          <w:rFonts w:ascii="Tahoma" w:hAnsi="Tahoma" w:cs="Tahoma"/>
          <w:b/>
          <w:bCs/>
          <w:sz w:val="28"/>
          <w:szCs w:val="28"/>
          <w:lang w:val="sr-Cyrl-RS"/>
        </w:rPr>
        <w:t>Н</w:t>
      </w:r>
      <w:r w:rsidR="00C02E5C" w:rsidRPr="00C02E5C">
        <w:rPr>
          <w:rFonts w:ascii="Tahoma" w:hAnsi="Tahoma" w:cs="Tahoma"/>
          <w:b/>
          <w:bCs/>
          <w:sz w:val="28"/>
          <w:szCs w:val="28"/>
          <w:lang w:val="sr-Cyrl-RS"/>
        </w:rPr>
        <w:t xml:space="preserve">овчана давања и услуге у надлежности националног нивоа </w:t>
      </w:r>
    </w:p>
    <w:p w14:paraId="5D60F5AF" w14:textId="49B48BF0" w:rsidR="00A17188" w:rsidRPr="00C02E5C" w:rsidRDefault="00A17188" w:rsidP="00A17188">
      <w:pPr>
        <w:spacing w:after="160" w:line="259" w:lineRule="auto"/>
        <w:jc w:val="both"/>
        <w:rPr>
          <w:rFonts w:ascii="Tahoma" w:hAnsi="Tahoma" w:cs="Tahoma"/>
          <w:sz w:val="22"/>
          <w:szCs w:val="22"/>
          <w:lang w:val="sr-Cyrl-RS"/>
        </w:rPr>
      </w:pPr>
      <w:r w:rsidRPr="00C02E5C">
        <w:rPr>
          <w:rFonts w:ascii="Tahoma" w:hAnsi="Tahoma" w:cs="Tahoma"/>
          <w:sz w:val="22"/>
          <w:szCs w:val="22"/>
          <w:lang w:val="sr-Cyrl-RS"/>
        </w:rPr>
        <w:t>У Србији је највећи део социјалне заштите у надлежности националног нивоа. Међу новчаним давањима најзначајнија су давања усмерена на сиромашне: новчана социјална помоћ (НСП) и дечији додатак (ДД), као и категоријска давања за помоћ и негу другог лица намењена старима и особама са инвалидитетом (додатак и увећани додатак). Од накнада из социјалног осигурања посебан значај имају пензије, које представљају важан извор дохотка домаћинства у Србији. И најраспрострањеније услуге социјалне заштите, услуге смештаја су у надлежности Републике. Кроз услуге процене и планирања, на права и услуге који се остварују по Закону о социјалној заштити потенцијалне кориснике упућују центри за социјални рад (ЦСР) на локалном нивоу који врше и улогу органа старатељства, а дечији додатак администрирају општинске</w:t>
      </w:r>
      <w:r w:rsidR="00CC7BCE">
        <w:rPr>
          <w:rFonts w:ascii="Tahoma" w:hAnsi="Tahoma" w:cs="Tahoma"/>
          <w:sz w:val="22"/>
          <w:szCs w:val="22"/>
          <w:lang w:val="sr-Cyrl-RS"/>
        </w:rPr>
        <w:t xml:space="preserve"> односно градске</w:t>
      </w:r>
      <w:r w:rsidRPr="00C02E5C">
        <w:rPr>
          <w:rFonts w:ascii="Tahoma" w:hAnsi="Tahoma" w:cs="Tahoma"/>
          <w:sz w:val="22"/>
          <w:szCs w:val="22"/>
          <w:lang w:val="sr-Cyrl-RS"/>
        </w:rPr>
        <w:t xml:space="preserve"> службе локалних самоуправа.</w:t>
      </w:r>
    </w:p>
    <w:p w14:paraId="6BBE312F" w14:textId="7615601C" w:rsidR="00A17188" w:rsidRPr="00C745FA" w:rsidRDefault="00A17188" w:rsidP="00A17188">
      <w:pPr>
        <w:spacing w:after="160" w:line="259" w:lineRule="auto"/>
        <w:jc w:val="both"/>
        <w:rPr>
          <w:rFonts w:ascii="Tahoma" w:hAnsi="Tahoma" w:cs="Tahoma"/>
          <w:sz w:val="22"/>
          <w:szCs w:val="22"/>
          <w:lang w:val="sr-Latn-RS"/>
        </w:rPr>
      </w:pPr>
      <w:r w:rsidRPr="00315889">
        <w:rPr>
          <w:rFonts w:ascii="Tahoma" w:hAnsi="Tahoma" w:cs="Tahoma"/>
          <w:b/>
          <w:bCs/>
          <w:color w:val="2F5496" w:themeColor="accent1" w:themeShade="BF"/>
          <w:sz w:val="22"/>
          <w:szCs w:val="22"/>
          <w:lang w:val="sr-Cyrl-RS"/>
        </w:rPr>
        <w:t>Новчану социјалну помоћ је 20</w:t>
      </w:r>
      <w:r w:rsidR="00A15341" w:rsidRPr="00315889">
        <w:rPr>
          <w:rFonts w:ascii="Tahoma" w:hAnsi="Tahoma" w:cs="Tahoma"/>
          <w:b/>
          <w:bCs/>
          <w:color w:val="2F5496" w:themeColor="accent1" w:themeShade="BF"/>
          <w:sz w:val="22"/>
          <w:szCs w:val="22"/>
          <w:lang w:val="sr-Latn-RS"/>
        </w:rPr>
        <w:t>20</w:t>
      </w:r>
      <w:r w:rsidRPr="00315889">
        <w:rPr>
          <w:rFonts w:ascii="Tahoma" w:hAnsi="Tahoma" w:cs="Tahoma"/>
          <w:b/>
          <w:bCs/>
          <w:color w:val="2F5496" w:themeColor="accent1" w:themeShade="BF"/>
          <w:sz w:val="22"/>
          <w:szCs w:val="22"/>
          <w:lang w:val="sr-Cyrl-RS"/>
        </w:rPr>
        <w:t>. године прима</w:t>
      </w:r>
      <w:r w:rsidR="00C44775" w:rsidRPr="00315889">
        <w:rPr>
          <w:rFonts w:ascii="Tahoma" w:hAnsi="Tahoma" w:cs="Tahoma"/>
          <w:b/>
          <w:bCs/>
          <w:color w:val="2F5496" w:themeColor="accent1" w:themeShade="BF"/>
          <w:sz w:val="22"/>
          <w:szCs w:val="22"/>
          <w:lang w:val="sr-Cyrl-RS"/>
        </w:rPr>
        <w:t xml:space="preserve">ло </w:t>
      </w:r>
      <w:r w:rsidR="00794AC6">
        <w:rPr>
          <w:rFonts w:ascii="Tahoma" w:hAnsi="Tahoma" w:cs="Tahoma"/>
          <w:b/>
          <w:bCs/>
          <w:color w:val="2F5496" w:themeColor="accent1" w:themeShade="BF"/>
          <w:sz w:val="22"/>
          <w:szCs w:val="22"/>
          <w:lang w:val="sr-Cyrl-RS"/>
        </w:rPr>
        <w:t>1</w:t>
      </w:r>
      <w:r w:rsidR="00C44775" w:rsidRPr="00315889">
        <w:rPr>
          <w:rFonts w:ascii="Tahoma" w:hAnsi="Tahoma" w:cs="Tahoma"/>
          <w:b/>
          <w:bCs/>
          <w:color w:val="2F5496" w:themeColor="accent1" w:themeShade="BF"/>
          <w:sz w:val="22"/>
          <w:szCs w:val="22"/>
          <w:lang w:val="sr-Cyrl-RS"/>
        </w:rPr>
        <w:t>.</w:t>
      </w:r>
      <w:r w:rsidR="00794AC6">
        <w:rPr>
          <w:rFonts w:ascii="Tahoma" w:hAnsi="Tahoma" w:cs="Tahoma"/>
          <w:b/>
          <w:bCs/>
          <w:color w:val="2F5496" w:themeColor="accent1" w:themeShade="BF"/>
          <w:sz w:val="22"/>
          <w:szCs w:val="22"/>
          <w:lang w:val="sr-Cyrl-RS"/>
        </w:rPr>
        <w:t>201</w:t>
      </w:r>
      <w:r w:rsidRPr="00315889">
        <w:rPr>
          <w:rFonts w:ascii="Tahoma" w:hAnsi="Tahoma" w:cs="Tahoma"/>
          <w:b/>
          <w:bCs/>
          <w:color w:val="2F5496" w:themeColor="accent1" w:themeShade="BF"/>
          <w:sz w:val="22"/>
          <w:szCs w:val="22"/>
          <w:lang w:val="sr-Cyrl-RS"/>
        </w:rPr>
        <w:t xml:space="preserve"> становник</w:t>
      </w:r>
      <w:r w:rsidR="00E15A14" w:rsidRPr="00315889">
        <w:rPr>
          <w:rFonts w:ascii="Tahoma" w:hAnsi="Tahoma" w:cs="Tahoma"/>
          <w:b/>
          <w:bCs/>
          <w:color w:val="2F5496" w:themeColor="accent1" w:themeShade="BF"/>
          <w:sz w:val="22"/>
          <w:szCs w:val="22"/>
          <w:lang w:val="sr-Latn-RS"/>
        </w:rPr>
        <w:t>a</w:t>
      </w:r>
      <w:r w:rsidRPr="00315889">
        <w:rPr>
          <w:rFonts w:ascii="Tahoma" w:hAnsi="Tahoma" w:cs="Tahoma"/>
          <w:b/>
          <w:bCs/>
          <w:color w:val="2F5496" w:themeColor="accent1" w:themeShade="BF"/>
          <w:sz w:val="22"/>
          <w:szCs w:val="22"/>
          <w:lang w:val="sr-Cyrl-RS"/>
        </w:rPr>
        <w:t xml:space="preserve"> </w:t>
      </w:r>
      <w:r w:rsidR="00794AC6">
        <w:rPr>
          <w:rFonts w:ascii="Tahoma" w:hAnsi="Tahoma" w:cs="Tahoma"/>
          <w:b/>
          <w:bCs/>
          <w:color w:val="2F5496" w:themeColor="accent1" w:themeShade="BF"/>
          <w:sz w:val="22"/>
          <w:szCs w:val="22"/>
          <w:lang w:val="sr-Cyrl-RS"/>
        </w:rPr>
        <w:t>општине Смедеревска Паланка</w:t>
      </w:r>
      <w:r w:rsidRPr="00315889">
        <w:rPr>
          <w:rFonts w:ascii="Tahoma" w:hAnsi="Tahoma" w:cs="Tahoma"/>
          <w:b/>
          <w:bCs/>
          <w:color w:val="2F5496" w:themeColor="accent1" w:themeShade="BF"/>
          <w:sz w:val="22"/>
          <w:szCs w:val="22"/>
          <w:lang w:val="sr-Cyrl-RS"/>
        </w:rPr>
        <w:t xml:space="preserve">. Обухват становништва програмом НСП је низак и износи </w:t>
      </w:r>
      <w:r w:rsidR="00A15341" w:rsidRPr="00315889">
        <w:rPr>
          <w:rFonts w:ascii="Tahoma" w:hAnsi="Tahoma" w:cs="Tahoma"/>
          <w:b/>
          <w:bCs/>
          <w:color w:val="2F5496" w:themeColor="accent1" w:themeShade="BF"/>
          <w:sz w:val="22"/>
          <w:szCs w:val="22"/>
          <w:lang w:val="sr-Latn-RS"/>
        </w:rPr>
        <w:t>2</w:t>
      </w:r>
      <w:r w:rsidRPr="00315889">
        <w:rPr>
          <w:rFonts w:ascii="Tahoma" w:hAnsi="Tahoma" w:cs="Tahoma"/>
          <w:b/>
          <w:bCs/>
          <w:color w:val="2F5496" w:themeColor="accent1" w:themeShade="BF"/>
          <w:sz w:val="22"/>
          <w:szCs w:val="22"/>
          <w:lang w:val="sr-Cyrl-RS"/>
        </w:rPr>
        <w:t>,</w:t>
      </w:r>
      <w:r w:rsidR="005918EB">
        <w:rPr>
          <w:rFonts w:ascii="Tahoma" w:hAnsi="Tahoma" w:cs="Tahoma"/>
          <w:b/>
          <w:bCs/>
          <w:color w:val="2F5496" w:themeColor="accent1" w:themeShade="BF"/>
          <w:sz w:val="22"/>
          <w:szCs w:val="22"/>
          <w:lang w:val="sr-Cyrl-RS"/>
        </w:rPr>
        <w:t>7</w:t>
      </w:r>
      <w:r w:rsidRPr="00315889">
        <w:rPr>
          <w:rFonts w:ascii="Tahoma" w:hAnsi="Tahoma" w:cs="Tahoma"/>
          <w:b/>
          <w:bCs/>
          <w:color w:val="2F5496" w:themeColor="accent1" w:themeShade="BF"/>
          <w:sz w:val="22"/>
          <w:szCs w:val="22"/>
          <w:lang w:val="sr-Cyrl-RS"/>
        </w:rPr>
        <w:t>%</w:t>
      </w:r>
      <w:r w:rsidRPr="00315889">
        <w:rPr>
          <w:rFonts w:ascii="Tahoma" w:hAnsi="Tahoma" w:cs="Tahoma"/>
          <w:color w:val="2F5496" w:themeColor="accent1" w:themeShade="BF"/>
          <w:sz w:val="22"/>
          <w:szCs w:val="22"/>
          <w:lang w:val="sr-Cyrl-RS"/>
        </w:rPr>
        <w:t xml:space="preserve"> </w:t>
      </w:r>
      <w:r w:rsidRPr="00C02E5C">
        <w:rPr>
          <w:rFonts w:ascii="Tahoma" w:hAnsi="Tahoma" w:cs="Tahoma"/>
          <w:sz w:val="22"/>
          <w:szCs w:val="22"/>
          <w:lang w:val="sr-Cyrl-RS"/>
        </w:rPr>
        <w:t>(Табела 1).</w:t>
      </w:r>
      <w:r w:rsidR="005918EB">
        <w:rPr>
          <w:rFonts w:ascii="Tahoma" w:hAnsi="Tahoma" w:cs="Tahoma"/>
          <w:sz w:val="22"/>
          <w:szCs w:val="22"/>
          <w:lang w:val="sr-Cyrl-RS"/>
        </w:rPr>
        <w:t xml:space="preserve"> Б</w:t>
      </w:r>
      <w:r w:rsidRPr="00C02E5C">
        <w:rPr>
          <w:rFonts w:ascii="Tahoma" w:hAnsi="Tahoma" w:cs="Tahoma"/>
          <w:sz w:val="22"/>
          <w:szCs w:val="22"/>
          <w:lang w:val="sr-Cyrl-RS"/>
        </w:rPr>
        <w:t xml:space="preserve">рој и удео појединаца који су остваривали право на НСП </w:t>
      </w:r>
      <w:r w:rsidR="005918EB">
        <w:rPr>
          <w:rFonts w:ascii="Tahoma" w:hAnsi="Tahoma" w:cs="Tahoma"/>
          <w:sz w:val="22"/>
          <w:szCs w:val="22"/>
          <w:lang w:val="sr-Cyrl-RS"/>
        </w:rPr>
        <w:t>је током посматраног периода растао</w:t>
      </w:r>
      <w:r w:rsidR="00F07A23">
        <w:rPr>
          <w:rFonts w:ascii="Tahoma" w:hAnsi="Tahoma" w:cs="Tahoma"/>
          <w:sz w:val="22"/>
          <w:szCs w:val="22"/>
          <w:lang w:val="sr-Cyrl-RS"/>
        </w:rPr>
        <w:t xml:space="preserve"> </w:t>
      </w:r>
      <w:r w:rsidRPr="00C02E5C">
        <w:rPr>
          <w:rFonts w:ascii="Tahoma" w:hAnsi="Tahoma" w:cs="Tahoma"/>
          <w:sz w:val="22"/>
          <w:szCs w:val="22"/>
          <w:lang w:val="sr-Cyrl-RS"/>
        </w:rPr>
        <w:t xml:space="preserve">(Графикон 1). </w:t>
      </w:r>
    </w:p>
    <w:p w14:paraId="6A320A02" w14:textId="144486CD" w:rsidR="00807F2B" w:rsidRDefault="00A17188" w:rsidP="007327A7">
      <w:pPr>
        <w:spacing w:after="160" w:line="259" w:lineRule="auto"/>
        <w:jc w:val="both"/>
        <w:rPr>
          <w:rFonts w:ascii="Tahoma" w:hAnsi="Tahoma" w:cs="Tahoma"/>
          <w:sz w:val="22"/>
          <w:szCs w:val="22"/>
          <w:lang w:val="sr-Cyrl-RS"/>
        </w:rPr>
      </w:pPr>
      <w:r w:rsidRPr="00315889">
        <w:rPr>
          <w:rFonts w:ascii="Tahoma" w:hAnsi="Tahoma" w:cs="Tahoma"/>
          <w:b/>
          <w:bCs/>
          <w:color w:val="2F5496" w:themeColor="accent1" w:themeShade="BF"/>
          <w:sz w:val="22"/>
          <w:szCs w:val="22"/>
          <w:lang w:val="sr-Cyrl-RS"/>
        </w:rPr>
        <w:t xml:space="preserve">Обухват становништва програмом НСП је нижи </w:t>
      </w:r>
      <w:r w:rsidR="007C04F6" w:rsidRPr="00315889">
        <w:rPr>
          <w:rFonts w:ascii="Tahoma" w:hAnsi="Tahoma" w:cs="Tahoma"/>
          <w:b/>
          <w:bCs/>
          <w:color w:val="2F5496" w:themeColor="accent1" w:themeShade="BF"/>
          <w:sz w:val="22"/>
          <w:szCs w:val="22"/>
          <w:lang w:val="sr-Cyrl-RS"/>
        </w:rPr>
        <w:t xml:space="preserve">од просека на </w:t>
      </w:r>
      <w:r w:rsidR="001A5582" w:rsidRPr="00315889">
        <w:rPr>
          <w:rFonts w:ascii="Tahoma" w:hAnsi="Tahoma" w:cs="Tahoma"/>
          <w:b/>
          <w:bCs/>
          <w:color w:val="2F5496" w:themeColor="accent1" w:themeShade="BF"/>
          <w:sz w:val="22"/>
          <w:szCs w:val="22"/>
          <w:lang w:val="sr-Cyrl-RS"/>
        </w:rPr>
        <w:t>подручју</w:t>
      </w:r>
      <w:r w:rsidR="007C04F6" w:rsidRPr="00315889">
        <w:rPr>
          <w:rFonts w:ascii="Tahoma" w:hAnsi="Tahoma" w:cs="Tahoma"/>
          <w:b/>
          <w:bCs/>
          <w:color w:val="2F5496" w:themeColor="accent1" w:themeShade="BF"/>
          <w:sz w:val="22"/>
          <w:szCs w:val="22"/>
          <w:lang w:val="sr-Cyrl-RS"/>
        </w:rPr>
        <w:t xml:space="preserve"> </w:t>
      </w:r>
      <w:r w:rsidRPr="00315889">
        <w:rPr>
          <w:rFonts w:ascii="Tahoma" w:hAnsi="Tahoma" w:cs="Tahoma"/>
          <w:b/>
          <w:bCs/>
          <w:color w:val="2F5496" w:themeColor="accent1" w:themeShade="BF"/>
          <w:sz w:val="22"/>
          <w:szCs w:val="22"/>
          <w:lang w:val="sr-Cyrl-RS"/>
        </w:rPr>
        <w:t>Србиј</w:t>
      </w:r>
      <w:r w:rsidR="007C04F6" w:rsidRPr="00315889">
        <w:rPr>
          <w:rFonts w:ascii="Tahoma" w:hAnsi="Tahoma" w:cs="Tahoma"/>
          <w:b/>
          <w:bCs/>
          <w:color w:val="2F5496" w:themeColor="accent1" w:themeShade="BF"/>
          <w:sz w:val="22"/>
          <w:szCs w:val="22"/>
          <w:lang w:val="sr-Cyrl-RS"/>
        </w:rPr>
        <w:t>а</w:t>
      </w:r>
      <w:r w:rsidR="007C04F6" w:rsidRPr="00315889">
        <w:rPr>
          <w:rFonts w:ascii="Tahoma" w:hAnsi="Tahoma" w:cs="Tahoma"/>
          <w:b/>
          <w:bCs/>
          <w:color w:val="2F5496" w:themeColor="accent1" w:themeShade="BF"/>
          <w:sz w:val="22"/>
          <w:szCs w:val="22"/>
          <w:lang w:val="sr-Latn-RS"/>
        </w:rPr>
        <w:t>-</w:t>
      </w:r>
      <w:r w:rsidR="00040796" w:rsidRPr="00315889">
        <w:rPr>
          <w:rFonts w:ascii="Tahoma" w:hAnsi="Tahoma" w:cs="Tahoma"/>
          <w:b/>
          <w:bCs/>
          <w:color w:val="2F5496" w:themeColor="accent1" w:themeShade="BF"/>
          <w:sz w:val="22"/>
          <w:szCs w:val="22"/>
          <w:lang w:val="sr-Cyrl-RS"/>
        </w:rPr>
        <w:t>ј</w:t>
      </w:r>
      <w:r w:rsidR="007C04F6" w:rsidRPr="00315889">
        <w:rPr>
          <w:rFonts w:ascii="Tahoma" w:hAnsi="Tahoma" w:cs="Tahoma"/>
          <w:b/>
          <w:bCs/>
          <w:color w:val="2F5496" w:themeColor="accent1" w:themeShade="BF"/>
          <w:sz w:val="22"/>
          <w:szCs w:val="22"/>
          <w:lang w:val="sr-Cyrl-RS"/>
        </w:rPr>
        <w:t>уг</w:t>
      </w:r>
      <w:r w:rsidR="007C04F6" w:rsidRPr="00315889">
        <w:rPr>
          <w:rStyle w:val="FootnoteReference"/>
          <w:rFonts w:ascii="Tahoma" w:hAnsi="Tahoma" w:cs="Tahoma"/>
          <w:b/>
          <w:bCs/>
          <w:color w:val="2F5496" w:themeColor="accent1" w:themeShade="BF"/>
          <w:sz w:val="22"/>
          <w:szCs w:val="22"/>
          <w:lang w:val="sr-Cyrl-RS"/>
        </w:rPr>
        <w:footnoteReference w:id="1"/>
      </w:r>
      <w:r w:rsidRPr="00315889">
        <w:rPr>
          <w:rFonts w:ascii="Tahoma" w:hAnsi="Tahoma" w:cs="Tahoma"/>
          <w:b/>
          <w:bCs/>
          <w:color w:val="2F5496" w:themeColor="accent1" w:themeShade="BF"/>
          <w:sz w:val="22"/>
          <w:szCs w:val="22"/>
          <w:lang w:val="sr-Cyrl-RS"/>
        </w:rPr>
        <w:t xml:space="preserve"> (3,</w:t>
      </w:r>
      <w:r w:rsidR="00786AC5" w:rsidRPr="00315889">
        <w:rPr>
          <w:rFonts w:ascii="Tahoma" w:hAnsi="Tahoma" w:cs="Tahoma"/>
          <w:b/>
          <w:bCs/>
          <w:color w:val="2F5496" w:themeColor="accent1" w:themeShade="BF"/>
          <w:sz w:val="22"/>
          <w:szCs w:val="22"/>
          <w:lang w:val="sr-Cyrl-RS"/>
        </w:rPr>
        <w:t>5</w:t>
      </w:r>
      <w:r w:rsidRPr="00315889">
        <w:rPr>
          <w:rFonts w:ascii="Tahoma" w:hAnsi="Tahoma" w:cs="Tahoma"/>
          <w:b/>
          <w:bCs/>
          <w:color w:val="2F5496" w:themeColor="accent1" w:themeShade="BF"/>
          <w:sz w:val="22"/>
          <w:szCs w:val="22"/>
          <w:lang w:val="sr-Cyrl-RS"/>
        </w:rPr>
        <w:t>%),</w:t>
      </w:r>
      <w:r w:rsidRPr="00315889">
        <w:rPr>
          <w:rFonts w:ascii="Tahoma" w:hAnsi="Tahoma" w:cs="Tahoma"/>
          <w:color w:val="2F5496" w:themeColor="accent1" w:themeShade="BF"/>
          <w:sz w:val="22"/>
          <w:szCs w:val="22"/>
          <w:lang w:val="sr-Cyrl-RS"/>
        </w:rPr>
        <w:t xml:space="preserve"> </w:t>
      </w:r>
      <w:r w:rsidR="005918EB" w:rsidRPr="005918EB">
        <w:rPr>
          <w:rFonts w:ascii="Tahoma" w:hAnsi="Tahoma" w:cs="Tahoma"/>
          <w:b/>
          <w:bCs/>
          <w:color w:val="2F5496" w:themeColor="accent1" w:themeShade="BF"/>
          <w:sz w:val="22"/>
          <w:szCs w:val="22"/>
          <w:lang w:val="sr-Cyrl-RS"/>
        </w:rPr>
        <w:t xml:space="preserve">али је на нивоу </w:t>
      </w:r>
      <w:r w:rsidR="005918EB">
        <w:rPr>
          <w:rFonts w:ascii="Tahoma" w:hAnsi="Tahoma" w:cs="Tahoma"/>
          <w:b/>
          <w:bCs/>
          <w:color w:val="2F5496" w:themeColor="accent1" w:themeShade="BF"/>
          <w:sz w:val="22"/>
          <w:szCs w:val="22"/>
          <w:lang w:val="sr-Cyrl-RS"/>
        </w:rPr>
        <w:t xml:space="preserve">просека </w:t>
      </w:r>
      <w:r w:rsidR="005918EB" w:rsidRPr="005918EB">
        <w:rPr>
          <w:rFonts w:ascii="Tahoma" w:hAnsi="Tahoma" w:cs="Tahoma"/>
          <w:b/>
          <w:bCs/>
          <w:color w:val="2F5496" w:themeColor="accent1" w:themeShade="BF"/>
          <w:sz w:val="22"/>
          <w:szCs w:val="22"/>
          <w:lang w:val="sr-Cyrl-RS"/>
        </w:rPr>
        <w:t>Подунавске области</w:t>
      </w:r>
      <w:r w:rsidR="005918EB">
        <w:rPr>
          <w:rFonts w:ascii="Tahoma" w:hAnsi="Tahoma" w:cs="Tahoma"/>
          <w:b/>
          <w:bCs/>
          <w:color w:val="2F5496" w:themeColor="accent1" w:themeShade="BF"/>
          <w:sz w:val="22"/>
          <w:szCs w:val="22"/>
          <w:lang w:val="sr-Cyrl-RS"/>
        </w:rPr>
        <w:t xml:space="preserve"> (2,7%)</w:t>
      </w:r>
      <w:r w:rsidR="005918EB">
        <w:rPr>
          <w:rFonts w:ascii="Tahoma" w:hAnsi="Tahoma" w:cs="Tahoma"/>
          <w:color w:val="2F5496" w:themeColor="accent1" w:themeShade="BF"/>
          <w:sz w:val="22"/>
          <w:szCs w:val="22"/>
          <w:lang w:val="sr-Cyrl-RS"/>
        </w:rPr>
        <w:t xml:space="preserve">. </w:t>
      </w:r>
      <w:r w:rsidR="00BD3CF3">
        <w:rPr>
          <w:rFonts w:ascii="Tahoma" w:hAnsi="Tahoma" w:cs="Tahoma"/>
          <w:sz w:val="22"/>
          <w:szCs w:val="22"/>
          <w:lang w:val="sr-Cyrl-RS"/>
        </w:rPr>
        <w:t>Н</w:t>
      </w:r>
      <w:r w:rsidR="00241EC4">
        <w:rPr>
          <w:rFonts w:ascii="Tahoma" w:hAnsi="Tahoma" w:cs="Tahoma"/>
          <w:sz w:val="22"/>
          <w:szCs w:val="22"/>
          <w:lang w:val="sr-Cyrl-RS"/>
        </w:rPr>
        <w:t xml:space="preserve">а </w:t>
      </w:r>
      <w:r w:rsidR="00473F7D">
        <w:rPr>
          <w:rFonts w:ascii="Tahoma" w:hAnsi="Tahoma" w:cs="Tahoma"/>
          <w:sz w:val="22"/>
          <w:szCs w:val="22"/>
          <w:lang w:val="sr-Cyrl-RS"/>
        </w:rPr>
        <w:t xml:space="preserve"> подручју</w:t>
      </w:r>
      <w:r w:rsidR="00241EC4">
        <w:rPr>
          <w:rFonts w:ascii="Tahoma" w:hAnsi="Tahoma" w:cs="Tahoma"/>
          <w:sz w:val="22"/>
          <w:szCs w:val="22"/>
          <w:lang w:val="sr-Cyrl-RS"/>
        </w:rPr>
        <w:t xml:space="preserve"> Србија-југ</w:t>
      </w:r>
      <w:r w:rsidRPr="00C02E5C">
        <w:rPr>
          <w:rFonts w:ascii="Tahoma" w:hAnsi="Tahoma" w:cs="Tahoma"/>
          <w:sz w:val="22"/>
          <w:szCs w:val="22"/>
          <w:lang w:val="sr-Cyrl-RS"/>
        </w:rPr>
        <w:t xml:space="preserve"> последњих година присутан </w:t>
      </w:r>
      <w:r w:rsidR="00241EC4">
        <w:rPr>
          <w:rFonts w:ascii="Tahoma" w:hAnsi="Tahoma" w:cs="Tahoma"/>
          <w:sz w:val="22"/>
          <w:szCs w:val="22"/>
          <w:lang w:val="sr-Cyrl-RS"/>
        </w:rPr>
        <w:t xml:space="preserve">је </w:t>
      </w:r>
      <w:r w:rsidRPr="00C02E5C">
        <w:rPr>
          <w:rFonts w:ascii="Tahoma" w:hAnsi="Tahoma" w:cs="Tahoma"/>
          <w:sz w:val="22"/>
          <w:szCs w:val="22"/>
          <w:lang w:val="sr-Cyrl-RS"/>
        </w:rPr>
        <w:t>тренд смањења броја и удела корисника</w:t>
      </w:r>
      <w:r w:rsidR="00BD3CF3">
        <w:rPr>
          <w:rFonts w:ascii="Tahoma" w:hAnsi="Tahoma" w:cs="Tahoma"/>
          <w:sz w:val="22"/>
          <w:szCs w:val="22"/>
          <w:lang w:val="sr-Cyrl-RS"/>
        </w:rPr>
        <w:t xml:space="preserve">, док је на подручју Подунавске области тренд сличнији кретањима која су </w:t>
      </w:r>
      <w:r w:rsidR="00BD3CF3" w:rsidRPr="0025539A">
        <w:rPr>
          <w:rFonts w:ascii="Tahoma" w:hAnsi="Tahoma" w:cs="Tahoma"/>
          <w:sz w:val="22"/>
          <w:szCs w:val="22"/>
          <w:lang w:val="sr-Cyrl-RS"/>
        </w:rPr>
        <w:t>карактеристична за Смедеревску Паланку</w:t>
      </w:r>
      <w:r w:rsidRPr="0025539A">
        <w:rPr>
          <w:rFonts w:ascii="Tahoma" w:hAnsi="Tahoma" w:cs="Tahoma"/>
          <w:sz w:val="22"/>
          <w:szCs w:val="22"/>
          <w:lang w:val="sr-Cyrl-RS"/>
        </w:rPr>
        <w:t xml:space="preserve"> (Графикон 1). Када се јединице локалне самоуправе (ЈЛС) </w:t>
      </w:r>
      <w:r w:rsidR="0025539A" w:rsidRPr="0025539A">
        <w:rPr>
          <w:rFonts w:ascii="Tahoma" w:hAnsi="Tahoma" w:cs="Tahoma"/>
          <w:sz w:val="22"/>
          <w:szCs w:val="22"/>
          <w:lang w:val="sr-Cyrl-RS"/>
        </w:rPr>
        <w:t xml:space="preserve">на  подручју Србија-југ </w:t>
      </w:r>
      <w:r w:rsidRPr="0025539A">
        <w:rPr>
          <w:rFonts w:ascii="Tahoma" w:hAnsi="Tahoma" w:cs="Tahoma"/>
          <w:sz w:val="22"/>
          <w:szCs w:val="22"/>
          <w:lang w:val="sr-Cyrl-RS"/>
        </w:rPr>
        <w:t xml:space="preserve">поређају по висини обухвата од најмање до највеће вредности, ранг </w:t>
      </w:r>
      <w:r w:rsidR="00BD3CF3" w:rsidRPr="0025539A">
        <w:rPr>
          <w:rFonts w:ascii="Tahoma" w:hAnsi="Tahoma" w:cs="Tahoma"/>
          <w:sz w:val="22"/>
          <w:szCs w:val="22"/>
          <w:lang w:val="sr-Cyrl-RS"/>
        </w:rPr>
        <w:t>општине Смедеревска Паланка</w:t>
      </w:r>
      <w:r w:rsidRPr="0025539A">
        <w:rPr>
          <w:rFonts w:ascii="Tahoma" w:hAnsi="Tahoma" w:cs="Tahoma"/>
          <w:sz w:val="22"/>
          <w:szCs w:val="22"/>
          <w:lang w:val="sr-Cyrl-RS"/>
        </w:rPr>
        <w:t xml:space="preserve"> </w:t>
      </w:r>
      <w:r w:rsidR="00C03468" w:rsidRPr="0025539A">
        <w:rPr>
          <w:rFonts w:ascii="Tahoma" w:hAnsi="Tahoma" w:cs="Tahoma"/>
          <w:sz w:val="22"/>
          <w:szCs w:val="22"/>
          <w:lang w:val="sr-Cyrl-RS"/>
        </w:rPr>
        <w:t xml:space="preserve">је  </w:t>
      </w:r>
      <w:r w:rsidR="00BD3CF3" w:rsidRPr="0025539A">
        <w:rPr>
          <w:rFonts w:ascii="Tahoma" w:hAnsi="Tahoma" w:cs="Tahoma"/>
          <w:sz w:val="22"/>
          <w:szCs w:val="22"/>
          <w:lang w:val="sr-Cyrl-RS"/>
        </w:rPr>
        <w:t>57</w:t>
      </w:r>
      <w:r w:rsidR="00C03468" w:rsidRPr="0025539A">
        <w:rPr>
          <w:rFonts w:ascii="Tahoma" w:hAnsi="Tahoma" w:cs="Tahoma"/>
          <w:sz w:val="22"/>
          <w:szCs w:val="22"/>
          <w:lang w:val="sr-Cyrl-RS"/>
        </w:rPr>
        <w:t xml:space="preserve"> од </w:t>
      </w:r>
      <w:r w:rsidR="00473F7D" w:rsidRPr="0025539A">
        <w:rPr>
          <w:rFonts w:ascii="Tahoma" w:hAnsi="Tahoma" w:cs="Tahoma"/>
          <w:sz w:val="22"/>
          <w:szCs w:val="22"/>
          <w:lang w:val="sr-Latn-RS"/>
        </w:rPr>
        <w:t>99</w:t>
      </w:r>
      <w:r w:rsidR="00C03468" w:rsidRPr="0025539A">
        <w:rPr>
          <w:rFonts w:ascii="Tahoma" w:hAnsi="Tahoma" w:cs="Tahoma"/>
          <w:sz w:val="22"/>
          <w:szCs w:val="22"/>
          <w:lang w:val="sr-Cyrl-RS"/>
        </w:rPr>
        <w:t xml:space="preserve"> места</w:t>
      </w:r>
      <w:r w:rsidR="00185787" w:rsidRPr="0025539A">
        <w:rPr>
          <w:rFonts w:ascii="Tahoma" w:hAnsi="Tahoma" w:cs="Tahoma"/>
          <w:sz w:val="22"/>
          <w:szCs w:val="22"/>
          <w:lang w:val="sr-Cyrl-RS"/>
        </w:rPr>
        <w:t>, што значи да приближно 40% ЈЛС</w:t>
      </w:r>
      <w:r w:rsidR="00185787">
        <w:rPr>
          <w:rFonts w:ascii="Tahoma" w:hAnsi="Tahoma" w:cs="Tahoma"/>
          <w:sz w:val="22"/>
          <w:szCs w:val="22"/>
          <w:lang w:val="sr-Cyrl-RS"/>
        </w:rPr>
        <w:t xml:space="preserve"> бележи већи удео корисника НСП. </w:t>
      </w:r>
      <w:r w:rsidR="00473F7D">
        <w:rPr>
          <w:rStyle w:val="FootnoteReference"/>
          <w:rFonts w:ascii="Tahoma" w:hAnsi="Tahoma" w:cs="Tahoma"/>
          <w:sz w:val="22"/>
          <w:szCs w:val="22"/>
          <w:lang w:val="sr-Cyrl-RS"/>
        </w:rPr>
        <w:footnoteReference w:id="2"/>
      </w:r>
      <w:r w:rsidR="00C03468" w:rsidRPr="00C03468">
        <w:rPr>
          <w:rFonts w:ascii="Tahoma" w:hAnsi="Tahoma" w:cs="Tahoma"/>
          <w:sz w:val="22"/>
          <w:szCs w:val="22"/>
          <w:lang w:val="sr-Cyrl-RS"/>
        </w:rPr>
        <w:t xml:space="preserve"> </w:t>
      </w:r>
      <w:r w:rsidR="0061034E" w:rsidRPr="00C02E5C">
        <w:rPr>
          <w:rFonts w:ascii="Tahoma" w:hAnsi="Tahoma" w:cs="Tahoma"/>
          <w:sz w:val="22"/>
          <w:szCs w:val="22"/>
          <w:lang w:val="sr-Cyrl-RS"/>
        </w:rPr>
        <w:t xml:space="preserve"> </w:t>
      </w:r>
    </w:p>
    <w:p w14:paraId="0EC5B7C8" w14:textId="522827E1" w:rsidR="00CF03A1" w:rsidRDefault="00CF03A1" w:rsidP="007327A7">
      <w:pPr>
        <w:spacing w:after="160" w:line="259" w:lineRule="auto"/>
        <w:jc w:val="both"/>
        <w:rPr>
          <w:rFonts w:ascii="Tahoma" w:hAnsi="Tahoma" w:cs="Tahoma"/>
          <w:sz w:val="22"/>
          <w:szCs w:val="22"/>
          <w:lang w:val="sr-Cyrl-RS"/>
        </w:rPr>
      </w:pPr>
    </w:p>
    <w:p w14:paraId="698ED3BA" w14:textId="275D837A" w:rsidR="00CF03A1" w:rsidRDefault="00CF03A1" w:rsidP="007327A7">
      <w:pPr>
        <w:spacing w:after="160" w:line="259" w:lineRule="auto"/>
        <w:jc w:val="both"/>
        <w:rPr>
          <w:rFonts w:ascii="Tahoma" w:hAnsi="Tahoma" w:cs="Tahoma"/>
          <w:sz w:val="22"/>
          <w:szCs w:val="22"/>
          <w:lang w:val="sr-Cyrl-RS"/>
        </w:rPr>
      </w:pPr>
    </w:p>
    <w:p w14:paraId="4989B14B" w14:textId="42635925" w:rsidR="00CF03A1" w:rsidRDefault="00CF03A1" w:rsidP="007327A7">
      <w:pPr>
        <w:spacing w:after="160" w:line="259" w:lineRule="auto"/>
        <w:jc w:val="both"/>
        <w:rPr>
          <w:rFonts w:ascii="Tahoma" w:hAnsi="Tahoma" w:cs="Tahoma"/>
          <w:sz w:val="22"/>
          <w:szCs w:val="22"/>
          <w:lang w:val="sr-Cyrl-RS"/>
        </w:rPr>
      </w:pPr>
    </w:p>
    <w:p w14:paraId="785FC48B" w14:textId="0D03FC1D" w:rsidR="00CF03A1" w:rsidRDefault="00CF03A1" w:rsidP="007327A7">
      <w:pPr>
        <w:spacing w:after="160" w:line="259" w:lineRule="auto"/>
        <w:jc w:val="both"/>
        <w:rPr>
          <w:rFonts w:ascii="Tahoma" w:hAnsi="Tahoma" w:cs="Tahoma"/>
          <w:sz w:val="22"/>
          <w:szCs w:val="22"/>
          <w:lang w:val="sr-Cyrl-RS"/>
        </w:rPr>
      </w:pPr>
    </w:p>
    <w:p w14:paraId="6CEBA280" w14:textId="26C5EAA8" w:rsidR="00CF03A1" w:rsidRDefault="00CF03A1" w:rsidP="007327A7">
      <w:pPr>
        <w:spacing w:after="160" w:line="259" w:lineRule="auto"/>
        <w:jc w:val="both"/>
        <w:rPr>
          <w:rFonts w:ascii="Tahoma" w:hAnsi="Tahoma" w:cs="Tahoma"/>
          <w:sz w:val="22"/>
          <w:szCs w:val="22"/>
          <w:lang w:val="sr-Cyrl-RS"/>
        </w:rPr>
      </w:pPr>
    </w:p>
    <w:p w14:paraId="256B278B" w14:textId="101F2620" w:rsidR="0061034E" w:rsidRPr="00233B7E" w:rsidRDefault="0061034E" w:rsidP="007327A7">
      <w:pPr>
        <w:spacing w:after="160" w:line="259" w:lineRule="auto"/>
        <w:jc w:val="both"/>
        <w:rPr>
          <w:rFonts w:ascii="Tahoma" w:hAnsi="Tahoma" w:cs="Tahoma"/>
          <w:bCs/>
          <w:color w:val="2F5496"/>
          <w:sz w:val="22"/>
          <w:szCs w:val="22"/>
          <w:lang w:val="sr-Cyrl-RS"/>
        </w:rPr>
      </w:pPr>
      <w:r w:rsidRPr="00233B7E">
        <w:rPr>
          <w:rFonts w:ascii="Tahoma" w:hAnsi="Tahoma" w:cs="Tahoma"/>
          <w:bCs/>
          <w:color w:val="2F5496"/>
          <w:sz w:val="22"/>
          <w:szCs w:val="22"/>
          <w:lang w:val="sr-Cyrl-RS"/>
        </w:rPr>
        <w:lastRenderedPageBreak/>
        <w:t>Графикон 1: Удео корисника НСП у укупној популацији</w:t>
      </w:r>
      <w:r w:rsidR="00C472A6">
        <w:rPr>
          <w:rFonts w:ascii="Tahoma" w:hAnsi="Tahoma" w:cs="Tahoma"/>
          <w:bCs/>
          <w:color w:val="2F5496"/>
          <w:sz w:val="22"/>
          <w:szCs w:val="22"/>
          <w:lang w:val="sr-Cyrl-RS"/>
        </w:rPr>
        <w:t xml:space="preserve"> (у %)</w:t>
      </w:r>
      <w:r w:rsidRPr="00233B7E">
        <w:rPr>
          <w:rFonts w:ascii="Tahoma" w:hAnsi="Tahoma" w:cs="Tahoma"/>
          <w:bCs/>
          <w:color w:val="2F5496"/>
          <w:sz w:val="22"/>
          <w:szCs w:val="22"/>
          <w:lang w:val="sr-Cyrl-RS"/>
        </w:rPr>
        <w:t>, 2012-20</w:t>
      </w:r>
      <w:r w:rsidR="00DE092E">
        <w:rPr>
          <w:rFonts w:ascii="Tahoma" w:hAnsi="Tahoma" w:cs="Tahoma"/>
          <w:bCs/>
          <w:color w:val="2F5496"/>
          <w:sz w:val="22"/>
          <w:szCs w:val="22"/>
          <w:lang w:val="sr-Latn-RS"/>
        </w:rPr>
        <w:t>20</w:t>
      </w:r>
      <w:r w:rsidRPr="00233B7E">
        <w:rPr>
          <w:rFonts w:ascii="Tahoma" w:hAnsi="Tahoma" w:cs="Tahoma"/>
          <w:bCs/>
          <w:color w:val="2F5496"/>
          <w:sz w:val="22"/>
          <w:szCs w:val="22"/>
          <w:lang w:val="sr-Cyrl-RS"/>
        </w:rPr>
        <w:t>.</w:t>
      </w:r>
    </w:p>
    <w:p w14:paraId="0A231050" w14:textId="256B83A9" w:rsidR="005D0E74" w:rsidRDefault="004C68F9" w:rsidP="007327A7">
      <w:pPr>
        <w:spacing w:after="160" w:line="259" w:lineRule="auto"/>
        <w:jc w:val="both"/>
      </w:pPr>
      <w:r>
        <w:rPr>
          <w:noProof/>
        </w:rPr>
        <w:drawing>
          <wp:inline distT="0" distB="0" distL="0" distR="0" wp14:anchorId="28A6B3C0" wp14:editId="1E4A9FEC">
            <wp:extent cx="4572000" cy="2743200"/>
            <wp:effectExtent l="0" t="0" r="0" b="0"/>
            <wp:docPr id="4" name="Chart 4">
              <a:extLst xmlns:a="http://schemas.openxmlformats.org/drawingml/2006/main">
                <a:ext uri="{FF2B5EF4-FFF2-40B4-BE49-F238E27FC236}">
                  <a16:creationId xmlns:a16="http://schemas.microsoft.com/office/drawing/2014/main" id="{96DD5BA3-56FE-1315-46A4-9D2F1F8790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7BB11C5" w14:textId="2CE28C09" w:rsidR="008F02FF" w:rsidRPr="005D0E74" w:rsidRDefault="00807F2B" w:rsidP="007327A7">
      <w:pPr>
        <w:spacing w:after="160" w:line="259" w:lineRule="auto"/>
        <w:jc w:val="both"/>
      </w:pPr>
      <w:r w:rsidRPr="00AF3C50">
        <w:rPr>
          <w:rFonts w:ascii="Tahoma" w:hAnsi="Tahoma" w:cs="Tahoma"/>
          <w:sz w:val="18"/>
          <w:szCs w:val="18"/>
          <w:lang w:val="sr-Cyrl-RS"/>
        </w:rPr>
        <w:t>Извор: ДевИнфо база</w:t>
      </w:r>
      <w:r>
        <w:rPr>
          <w:rFonts w:ascii="Tahoma" w:hAnsi="Tahoma" w:cs="Tahoma"/>
          <w:sz w:val="18"/>
          <w:szCs w:val="18"/>
        </w:rPr>
        <w:t>,</w:t>
      </w:r>
      <w:r w:rsidRPr="00AF3C50">
        <w:rPr>
          <w:rFonts w:ascii="Tahoma" w:hAnsi="Tahoma" w:cs="Tahoma"/>
          <w:sz w:val="18"/>
          <w:szCs w:val="18"/>
          <w:lang w:val="sr-Cyrl-RS"/>
        </w:rPr>
        <w:t xml:space="preserve"> Републички завод за статистику</w:t>
      </w:r>
      <w:r>
        <w:rPr>
          <w:rFonts w:ascii="Tahoma" w:hAnsi="Tahoma" w:cs="Tahoma"/>
          <w:sz w:val="18"/>
          <w:szCs w:val="18"/>
        </w:rPr>
        <w:t>.</w:t>
      </w:r>
    </w:p>
    <w:p w14:paraId="7E4CCC9B" w14:textId="77777777" w:rsidR="00807F2B" w:rsidRPr="00807F2B" w:rsidRDefault="00807F2B" w:rsidP="007327A7">
      <w:pPr>
        <w:spacing w:after="160" w:line="259" w:lineRule="auto"/>
        <w:jc w:val="both"/>
        <w:rPr>
          <w:rFonts w:ascii="Tahoma" w:hAnsi="Tahoma" w:cs="Tahoma"/>
          <w:bCs/>
          <w:sz w:val="10"/>
          <w:szCs w:val="10"/>
          <w:lang w:val="sr-Cyrl-RS"/>
        </w:rPr>
      </w:pPr>
    </w:p>
    <w:p w14:paraId="60639D09" w14:textId="695B37AC" w:rsidR="00260239" w:rsidRPr="00807F2B" w:rsidRDefault="00260239" w:rsidP="00260239">
      <w:pPr>
        <w:spacing w:after="160" w:line="259" w:lineRule="auto"/>
        <w:jc w:val="both"/>
        <w:rPr>
          <w:rFonts w:ascii="Tahoma" w:hAnsi="Tahoma" w:cs="Tahoma"/>
          <w:sz w:val="22"/>
          <w:szCs w:val="22"/>
          <w:shd w:val="clear" w:color="auto" w:fill="FFFFFF"/>
          <w:lang w:val="sr-Cyrl-RS"/>
        </w:rPr>
      </w:pPr>
      <w:r w:rsidRPr="00315889">
        <w:rPr>
          <w:rFonts w:ascii="Tahoma" w:hAnsi="Tahoma" w:cs="Tahoma"/>
          <w:b/>
          <w:color w:val="2F5496" w:themeColor="accent1" w:themeShade="BF"/>
          <w:sz w:val="22"/>
          <w:szCs w:val="22"/>
          <w:lang w:val="sr-Cyrl-RS"/>
        </w:rPr>
        <w:t>Крајем 20</w:t>
      </w:r>
      <w:r w:rsidR="00241EC4" w:rsidRPr="00315889">
        <w:rPr>
          <w:rFonts w:ascii="Tahoma" w:hAnsi="Tahoma" w:cs="Tahoma"/>
          <w:b/>
          <w:color w:val="2F5496" w:themeColor="accent1" w:themeShade="BF"/>
          <w:sz w:val="22"/>
          <w:szCs w:val="22"/>
          <w:lang w:val="sr-Cyrl-RS"/>
        </w:rPr>
        <w:t>20</w:t>
      </w:r>
      <w:r w:rsidRPr="00315889">
        <w:rPr>
          <w:rFonts w:ascii="Tahoma" w:hAnsi="Tahoma" w:cs="Tahoma"/>
          <w:b/>
          <w:color w:val="2F5496" w:themeColor="accent1" w:themeShade="BF"/>
          <w:sz w:val="22"/>
          <w:szCs w:val="22"/>
          <w:lang w:val="sr-Cyrl-RS"/>
        </w:rPr>
        <w:t xml:space="preserve">. године, </w:t>
      </w:r>
      <w:r w:rsidR="003B2BB4">
        <w:rPr>
          <w:rFonts w:ascii="Tahoma" w:hAnsi="Tahoma" w:cs="Tahoma"/>
          <w:b/>
          <w:color w:val="2F5496" w:themeColor="accent1" w:themeShade="BF"/>
          <w:sz w:val="22"/>
          <w:szCs w:val="22"/>
          <w:lang w:val="sr-Cyrl-RS"/>
        </w:rPr>
        <w:t>1.408</w:t>
      </w:r>
      <w:r w:rsidRPr="00315889">
        <w:rPr>
          <w:rFonts w:ascii="Tahoma" w:hAnsi="Tahoma" w:cs="Tahoma"/>
          <w:b/>
          <w:color w:val="2F5496" w:themeColor="accent1" w:themeShade="BF"/>
          <w:sz w:val="22"/>
          <w:szCs w:val="22"/>
          <w:lang w:val="sr-Cyrl-RS"/>
        </w:rPr>
        <w:t xml:space="preserve"> деце и младих је примало дечији додатак, од којих је </w:t>
      </w:r>
      <w:r w:rsidR="003B2BB4">
        <w:rPr>
          <w:rFonts w:ascii="Tahoma" w:hAnsi="Tahoma" w:cs="Tahoma"/>
          <w:b/>
          <w:color w:val="2F5496" w:themeColor="accent1" w:themeShade="BF"/>
          <w:sz w:val="22"/>
          <w:szCs w:val="22"/>
          <w:lang w:val="sr-Cyrl-RS"/>
        </w:rPr>
        <w:t>182</w:t>
      </w:r>
      <w:r w:rsidRPr="00315889">
        <w:rPr>
          <w:rFonts w:ascii="Tahoma" w:hAnsi="Tahoma" w:cs="Tahoma"/>
          <w:b/>
          <w:color w:val="2F5496" w:themeColor="accent1" w:themeShade="BF"/>
          <w:sz w:val="22"/>
          <w:szCs w:val="22"/>
          <w:lang w:val="sr-Cyrl-RS"/>
        </w:rPr>
        <w:t xml:space="preserve"> остваривало право на увећане износе и по повољнијим условима</w:t>
      </w:r>
      <w:r w:rsidRPr="00F641C3">
        <w:rPr>
          <w:rFonts w:ascii="Tahoma" w:hAnsi="Tahoma" w:cs="Tahoma"/>
          <w:b/>
          <w:sz w:val="22"/>
          <w:szCs w:val="22"/>
          <w:lang w:val="sr-Cyrl-RS"/>
        </w:rPr>
        <w:t>.</w:t>
      </w:r>
      <w:r w:rsidRPr="00807F2B">
        <w:rPr>
          <w:rFonts w:ascii="Tahoma" w:hAnsi="Tahoma" w:cs="Tahoma"/>
          <w:bCs/>
          <w:sz w:val="22"/>
          <w:szCs w:val="22"/>
          <w:lang w:val="sr-Cyrl-RS"/>
        </w:rPr>
        <w:t xml:space="preserve"> У последњој групи су деца са инвалидитетом и са сметњама у развоју, као и деца из </w:t>
      </w:r>
      <w:proofErr w:type="spellStart"/>
      <w:r w:rsidRPr="00807F2B">
        <w:rPr>
          <w:rFonts w:ascii="Tahoma" w:hAnsi="Tahoma" w:cs="Tahoma"/>
          <w:bCs/>
          <w:sz w:val="22"/>
          <w:szCs w:val="22"/>
          <w:lang w:val="sr-Cyrl-RS"/>
        </w:rPr>
        <w:t>једнородитељских</w:t>
      </w:r>
      <w:proofErr w:type="spellEnd"/>
      <w:r w:rsidRPr="00807F2B">
        <w:rPr>
          <w:rFonts w:ascii="Tahoma" w:hAnsi="Tahoma" w:cs="Tahoma"/>
          <w:bCs/>
          <w:sz w:val="22"/>
          <w:szCs w:val="22"/>
          <w:lang w:val="sr-Cyrl-RS"/>
        </w:rPr>
        <w:t xml:space="preserve"> и старатељских породица. Корисници дечијег додатка су деца и млади до 20 година. Током времена број корисника дечијег додатка се </w:t>
      </w:r>
      <w:r w:rsidRPr="00215A79">
        <w:rPr>
          <w:rFonts w:ascii="Tahoma" w:hAnsi="Tahoma" w:cs="Tahoma"/>
          <w:bCs/>
          <w:sz w:val="22"/>
          <w:szCs w:val="22"/>
          <w:lang w:val="sr-Cyrl-RS"/>
        </w:rPr>
        <w:t xml:space="preserve">смањивао, што је општа тенденција у Србији. </w:t>
      </w:r>
      <w:r w:rsidR="003B2BB4" w:rsidRPr="00215A79">
        <w:rPr>
          <w:rFonts w:ascii="Tahoma" w:hAnsi="Tahoma" w:cs="Tahoma"/>
          <w:bCs/>
          <w:sz w:val="22"/>
          <w:szCs w:val="22"/>
          <w:lang w:val="sr-Cyrl-RS"/>
        </w:rPr>
        <w:t xml:space="preserve">Изразитије смањење је забележено од 2017. године, а </w:t>
      </w:r>
      <w:r w:rsidRPr="00215A79">
        <w:rPr>
          <w:rFonts w:ascii="Tahoma" w:hAnsi="Tahoma" w:cs="Tahoma"/>
          <w:bCs/>
          <w:sz w:val="22"/>
          <w:szCs w:val="22"/>
          <w:lang w:val="sr-Cyrl-RS"/>
        </w:rPr>
        <w:t xml:space="preserve">број корисника који остварују право на увећани износ </w:t>
      </w:r>
      <w:r w:rsidR="003B2BB4" w:rsidRPr="00215A79">
        <w:rPr>
          <w:rFonts w:ascii="Tahoma" w:hAnsi="Tahoma" w:cs="Tahoma"/>
          <w:bCs/>
          <w:sz w:val="22"/>
          <w:szCs w:val="22"/>
          <w:lang w:val="sr-Cyrl-RS"/>
        </w:rPr>
        <w:t>се значајно</w:t>
      </w:r>
      <w:r w:rsidR="007130AA" w:rsidRPr="00215A79">
        <w:rPr>
          <w:rFonts w:ascii="Tahoma" w:hAnsi="Tahoma" w:cs="Tahoma"/>
          <w:bCs/>
          <w:sz w:val="22"/>
          <w:szCs w:val="22"/>
          <w:lang w:val="sr-Cyrl-RS"/>
        </w:rPr>
        <w:t xml:space="preserve"> смањ</w:t>
      </w:r>
      <w:r w:rsidR="003B2BB4" w:rsidRPr="00215A79">
        <w:rPr>
          <w:rFonts w:ascii="Tahoma" w:hAnsi="Tahoma" w:cs="Tahoma"/>
          <w:bCs/>
          <w:sz w:val="22"/>
          <w:szCs w:val="22"/>
          <w:lang w:val="sr-Cyrl-RS"/>
        </w:rPr>
        <w:t>ио</w:t>
      </w:r>
      <w:r w:rsidR="007130AA" w:rsidRPr="00215A79">
        <w:rPr>
          <w:rFonts w:ascii="Tahoma" w:hAnsi="Tahoma" w:cs="Tahoma"/>
          <w:bCs/>
          <w:sz w:val="22"/>
          <w:szCs w:val="22"/>
          <w:lang w:val="sr-Cyrl-RS"/>
        </w:rPr>
        <w:t xml:space="preserve"> 2020. године </w:t>
      </w:r>
      <w:r w:rsidRPr="00215A79">
        <w:rPr>
          <w:rFonts w:ascii="Tahoma" w:hAnsi="Tahoma" w:cs="Tahoma"/>
          <w:bCs/>
          <w:sz w:val="22"/>
          <w:szCs w:val="22"/>
          <w:lang w:val="sr-Cyrl-RS"/>
        </w:rPr>
        <w:t>(Графикон</w:t>
      </w:r>
      <w:r w:rsidRPr="00807F2B">
        <w:rPr>
          <w:rFonts w:ascii="Tahoma" w:hAnsi="Tahoma" w:cs="Tahoma"/>
          <w:bCs/>
          <w:sz w:val="22"/>
          <w:szCs w:val="22"/>
          <w:lang w:val="sr-Cyrl-RS"/>
        </w:rPr>
        <w:t xml:space="preserve"> 2).</w:t>
      </w:r>
    </w:p>
    <w:p w14:paraId="23E038D2" w14:textId="586E8E2B" w:rsidR="0061034E" w:rsidRPr="00F84ECC" w:rsidRDefault="0061034E" w:rsidP="007327A7">
      <w:pPr>
        <w:spacing w:after="160" w:line="259" w:lineRule="auto"/>
        <w:jc w:val="both"/>
        <w:rPr>
          <w:rFonts w:ascii="Tahoma" w:hAnsi="Tahoma" w:cs="Tahoma"/>
          <w:bCs/>
          <w:color w:val="000000" w:themeColor="text1"/>
          <w:sz w:val="22"/>
          <w:szCs w:val="22"/>
          <w:lang w:val="sr-Cyrl-RS"/>
        </w:rPr>
      </w:pPr>
      <w:r w:rsidRPr="00315889">
        <w:rPr>
          <w:rFonts w:ascii="Tahoma" w:hAnsi="Tahoma" w:cs="Tahoma"/>
          <w:b/>
          <w:color w:val="2F5496" w:themeColor="accent1" w:themeShade="BF"/>
          <w:sz w:val="22"/>
          <w:szCs w:val="22"/>
          <w:lang w:val="sr-Cyrl-RS"/>
        </w:rPr>
        <w:t xml:space="preserve">Обухват деце и младих (0-19) програмом дечијег додатка у </w:t>
      </w:r>
      <w:r w:rsidR="00215A79">
        <w:rPr>
          <w:rFonts w:ascii="Tahoma" w:hAnsi="Tahoma" w:cs="Tahoma"/>
          <w:b/>
          <w:color w:val="2F5496" w:themeColor="accent1" w:themeShade="BF"/>
          <w:sz w:val="22"/>
          <w:szCs w:val="22"/>
          <w:lang w:val="sr-Cyrl-RS"/>
        </w:rPr>
        <w:t>Смедеревској Паланци</w:t>
      </w:r>
      <w:r w:rsidRPr="00315889">
        <w:rPr>
          <w:rFonts w:ascii="Tahoma" w:hAnsi="Tahoma" w:cs="Tahoma"/>
          <w:b/>
          <w:color w:val="2F5496" w:themeColor="accent1" w:themeShade="BF"/>
          <w:sz w:val="22"/>
          <w:szCs w:val="22"/>
          <w:lang w:val="sr-Cyrl-RS"/>
        </w:rPr>
        <w:t xml:space="preserve"> износио је 20</w:t>
      </w:r>
      <w:r w:rsidR="00BF3BDF" w:rsidRPr="00315889">
        <w:rPr>
          <w:rFonts w:ascii="Tahoma" w:hAnsi="Tahoma" w:cs="Tahoma"/>
          <w:b/>
          <w:color w:val="2F5496" w:themeColor="accent1" w:themeShade="BF"/>
          <w:sz w:val="22"/>
          <w:szCs w:val="22"/>
          <w:lang w:val="sr-Cyrl-RS"/>
        </w:rPr>
        <w:t>20</w:t>
      </w:r>
      <w:r w:rsidRPr="00315889">
        <w:rPr>
          <w:rFonts w:ascii="Tahoma" w:hAnsi="Tahoma" w:cs="Tahoma"/>
          <w:b/>
          <w:color w:val="2F5496" w:themeColor="accent1" w:themeShade="BF"/>
          <w:sz w:val="22"/>
          <w:szCs w:val="22"/>
          <w:lang w:val="sr-Cyrl-RS"/>
        </w:rPr>
        <w:t xml:space="preserve">. године </w:t>
      </w:r>
      <w:r w:rsidR="00130D5A" w:rsidRPr="00315889">
        <w:rPr>
          <w:rFonts w:ascii="Tahoma" w:hAnsi="Tahoma" w:cs="Tahoma"/>
          <w:b/>
          <w:color w:val="2F5496" w:themeColor="accent1" w:themeShade="BF"/>
          <w:sz w:val="22"/>
          <w:szCs w:val="22"/>
          <w:lang w:val="sr-Cyrl-RS"/>
        </w:rPr>
        <w:t>1</w:t>
      </w:r>
      <w:r w:rsidR="00215A79">
        <w:rPr>
          <w:rFonts w:ascii="Tahoma" w:hAnsi="Tahoma" w:cs="Tahoma"/>
          <w:b/>
          <w:color w:val="2F5496" w:themeColor="accent1" w:themeShade="BF"/>
          <w:sz w:val="22"/>
          <w:szCs w:val="22"/>
          <w:lang w:val="sr-Cyrl-RS"/>
        </w:rPr>
        <w:t>7</w:t>
      </w:r>
      <w:r w:rsidR="009D5AD1" w:rsidRPr="00315889">
        <w:rPr>
          <w:rFonts w:ascii="Tahoma" w:hAnsi="Tahoma" w:cs="Tahoma"/>
          <w:b/>
          <w:color w:val="2F5496" w:themeColor="accent1" w:themeShade="BF"/>
          <w:sz w:val="22"/>
          <w:szCs w:val="22"/>
          <w:lang w:val="sr-Cyrl-RS"/>
        </w:rPr>
        <w:t>,</w:t>
      </w:r>
      <w:r w:rsidR="00215A79">
        <w:rPr>
          <w:rFonts w:ascii="Tahoma" w:hAnsi="Tahoma" w:cs="Tahoma"/>
          <w:b/>
          <w:color w:val="2F5496" w:themeColor="accent1" w:themeShade="BF"/>
          <w:sz w:val="22"/>
          <w:szCs w:val="22"/>
          <w:lang w:val="sr-Cyrl-RS"/>
        </w:rPr>
        <w:t>6</w:t>
      </w:r>
      <w:r w:rsidRPr="00315889">
        <w:rPr>
          <w:rFonts w:ascii="Tahoma" w:hAnsi="Tahoma" w:cs="Tahoma"/>
          <w:b/>
          <w:color w:val="2F5496" w:themeColor="accent1" w:themeShade="BF"/>
          <w:sz w:val="22"/>
          <w:szCs w:val="22"/>
          <w:lang w:val="sr-Cyrl-RS"/>
        </w:rPr>
        <w:t>%</w:t>
      </w:r>
      <w:r w:rsidRPr="00F641C3">
        <w:rPr>
          <w:rFonts w:ascii="Tahoma" w:hAnsi="Tahoma" w:cs="Tahoma"/>
          <w:b/>
          <w:sz w:val="22"/>
          <w:szCs w:val="22"/>
          <w:lang w:val="sr-Cyrl-RS"/>
        </w:rPr>
        <w:t>.</w:t>
      </w:r>
      <w:r w:rsidRPr="00A17188">
        <w:rPr>
          <w:rFonts w:ascii="Tahoma" w:hAnsi="Tahoma" w:cs="Tahoma"/>
          <w:bCs/>
          <w:sz w:val="22"/>
          <w:szCs w:val="22"/>
          <w:lang w:val="sr-Cyrl-RS"/>
        </w:rPr>
        <w:t xml:space="preserve"> У поређењу са </w:t>
      </w:r>
      <w:r w:rsidR="00C71C36">
        <w:rPr>
          <w:rFonts w:ascii="Tahoma" w:hAnsi="Tahoma" w:cs="Tahoma"/>
          <w:bCs/>
          <w:sz w:val="22"/>
          <w:szCs w:val="22"/>
          <w:lang w:val="sr-Cyrl-RS"/>
        </w:rPr>
        <w:t>подручјем</w:t>
      </w:r>
      <w:r w:rsidR="00130D5A">
        <w:rPr>
          <w:rFonts w:ascii="Tahoma" w:hAnsi="Tahoma" w:cs="Tahoma"/>
          <w:bCs/>
          <w:sz w:val="22"/>
          <w:szCs w:val="22"/>
          <w:lang w:val="sr-Cyrl-RS"/>
        </w:rPr>
        <w:t xml:space="preserve"> Србија-југ</w:t>
      </w:r>
      <w:r w:rsidRPr="00A17188">
        <w:rPr>
          <w:rFonts w:ascii="Tahoma" w:hAnsi="Tahoma" w:cs="Tahoma"/>
          <w:bCs/>
          <w:sz w:val="22"/>
          <w:szCs w:val="22"/>
          <w:lang w:val="sr-Cyrl-RS"/>
        </w:rPr>
        <w:t xml:space="preserve"> обухват деце и младих програмом дечијег додатка је </w:t>
      </w:r>
      <w:r w:rsidR="00215A79">
        <w:rPr>
          <w:rFonts w:ascii="Tahoma" w:hAnsi="Tahoma" w:cs="Tahoma"/>
          <w:bCs/>
          <w:sz w:val="22"/>
          <w:szCs w:val="22"/>
          <w:lang w:val="sr-Cyrl-RS"/>
        </w:rPr>
        <w:t>знатно</w:t>
      </w:r>
      <w:r w:rsidR="00130D5A">
        <w:rPr>
          <w:rFonts w:ascii="Tahoma" w:hAnsi="Tahoma" w:cs="Tahoma"/>
          <w:bCs/>
          <w:sz w:val="22"/>
          <w:szCs w:val="22"/>
          <w:lang w:val="sr-Cyrl-RS"/>
        </w:rPr>
        <w:t xml:space="preserve"> нижи</w:t>
      </w:r>
      <w:r w:rsidR="00215A79" w:rsidRPr="00170BDA">
        <w:rPr>
          <w:rFonts w:ascii="Tahoma" w:hAnsi="Tahoma" w:cs="Tahoma"/>
          <w:bCs/>
          <w:sz w:val="22"/>
          <w:szCs w:val="22"/>
          <w:lang w:val="sr-Cyrl-RS"/>
        </w:rPr>
        <w:t>, посебно у делу програма са увећаним износима</w:t>
      </w:r>
      <w:r w:rsidRPr="00170BDA">
        <w:rPr>
          <w:rFonts w:ascii="Tahoma" w:hAnsi="Tahoma" w:cs="Tahoma"/>
          <w:bCs/>
          <w:sz w:val="22"/>
          <w:szCs w:val="22"/>
          <w:lang w:val="sr-Cyrl-RS"/>
        </w:rPr>
        <w:t xml:space="preserve"> (</w:t>
      </w:r>
      <w:r w:rsidR="008C43DB" w:rsidRPr="00170BDA">
        <w:rPr>
          <w:rFonts w:ascii="Tahoma" w:hAnsi="Tahoma" w:cs="Tahoma"/>
          <w:bCs/>
          <w:sz w:val="22"/>
          <w:szCs w:val="22"/>
          <w:lang w:val="sr-Cyrl-RS"/>
        </w:rPr>
        <w:t>Т</w:t>
      </w:r>
      <w:r w:rsidRPr="00170BDA">
        <w:rPr>
          <w:rFonts w:ascii="Tahoma" w:hAnsi="Tahoma" w:cs="Tahoma"/>
          <w:bCs/>
          <w:sz w:val="22"/>
          <w:szCs w:val="22"/>
          <w:lang w:val="sr-Cyrl-RS"/>
        </w:rPr>
        <w:t>абела 1).</w:t>
      </w:r>
      <w:r w:rsidRPr="00170BDA">
        <w:rPr>
          <w:rFonts w:ascii="Tahoma" w:hAnsi="Tahoma" w:cs="Tahoma"/>
          <w:bCs/>
          <w:color w:val="000000" w:themeColor="text1"/>
          <w:sz w:val="22"/>
          <w:szCs w:val="22"/>
          <w:lang w:val="sr-Cyrl-RS"/>
        </w:rPr>
        <w:t xml:space="preserve"> Према подацима ДевИнфо</w:t>
      </w:r>
      <w:r w:rsidRPr="00F84ECC">
        <w:rPr>
          <w:rFonts w:ascii="Tahoma" w:hAnsi="Tahoma" w:cs="Tahoma"/>
          <w:bCs/>
          <w:color w:val="000000" w:themeColor="text1"/>
          <w:sz w:val="22"/>
          <w:szCs w:val="22"/>
          <w:lang w:val="sr-Cyrl-RS"/>
        </w:rPr>
        <w:t xml:space="preserve"> </w:t>
      </w:r>
      <w:r w:rsidR="00D2621F">
        <w:rPr>
          <w:rFonts w:ascii="Tahoma" w:hAnsi="Tahoma" w:cs="Tahoma"/>
          <w:bCs/>
          <w:color w:val="000000" w:themeColor="text1"/>
          <w:sz w:val="22"/>
          <w:szCs w:val="22"/>
          <w:lang w:val="sr-Cyrl-RS"/>
        </w:rPr>
        <w:t xml:space="preserve">приближно </w:t>
      </w:r>
      <w:r w:rsidR="00AB1F00">
        <w:rPr>
          <w:rFonts w:ascii="Tahoma" w:hAnsi="Tahoma" w:cs="Tahoma"/>
          <w:bCs/>
          <w:color w:val="000000" w:themeColor="text1"/>
          <w:sz w:val="22"/>
          <w:szCs w:val="22"/>
          <w:lang w:val="sr-Cyrl-RS"/>
        </w:rPr>
        <w:t>половина</w:t>
      </w:r>
      <w:r w:rsidR="00C05602">
        <w:rPr>
          <w:rFonts w:ascii="Tahoma" w:hAnsi="Tahoma" w:cs="Tahoma"/>
          <w:bCs/>
          <w:color w:val="000000" w:themeColor="text1"/>
          <w:sz w:val="22"/>
          <w:szCs w:val="22"/>
          <w:lang w:val="sr-Cyrl-RS"/>
        </w:rPr>
        <w:t xml:space="preserve"> </w:t>
      </w:r>
      <w:r w:rsidR="00F84ECC" w:rsidRPr="00F84ECC">
        <w:rPr>
          <w:rFonts w:ascii="Tahoma" w:hAnsi="Tahoma" w:cs="Tahoma"/>
          <w:bCs/>
          <w:color w:val="000000" w:themeColor="text1"/>
          <w:sz w:val="22"/>
          <w:szCs w:val="22"/>
          <w:lang w:val="sr-Cyrl-RS"/>
        </w:rPr>
        <w:t>ЈЛС</w:t>
      </w:r>
      <w:r w:rsidRPr="00F84ECC">
        <w:rPr>
          <w:rFonts w:ascii="Tahoma" w:hAnsi="Tahoma" w:cs="Tahoma"/>
          <w:bCs/>
          <w:color w:val="000000" w:themeColor="text1"/>
          <w:sz w:val="22"/>
          <w:szCs w:val="22"/>
          <w:lang w:val="sr-Cyrl-RS"/>
        </w:rPr>
        <w:t xml:space="preserve"> </w:t>
      </w:r>
      <w:r w:rsidR="00C05602">
        <w:rPr>
          <w:rFonts w:ascii="Tahoma" w:hAnsi="Tahoma" w:cs="Tahoma"/>
          <w:bCs/>
          <w:color w:val="000000" w:themeColor="text1"/>
          <w:sz w:val="22"/>
          <w:szCs w:val="22"/>
          <w:lang w:val="sr-Cyrl-RS"/>
        </w:rPr>
        <w:t>на подручју</w:t>
      </w:r>
      <w:r w:rsidRPr="00F84ECC">
        <w:rPr>
          <w:rFonts w:ascii="Tahoma" w:hAnsi="Tahoma" w:cs="Tahoma"/>
          <w:bCs/>
          <w:color w:val="000000" w:themeColor="text1"/>
          <w:sz w:val="22"/>
          <w:szCs w:val="22"/>
          <w:lang w:val="sr-Cyrl-RS"/>
        </w:rPr>
        <w:t xml:space="preserve"> Србиј</w:t>
      </w:r>
      <w:r w:rsidR="00C05602">
        <w:rPr>
          <w:rFonts w:ascii="Tahoma" w:hAnsi="Tahoma" w:cs="Tahoma"/>
          <w:bCs/>
          <w:color w:val="000000" w:themeColor="text1"/>
          <w:sz w:val="22"/>
          <w:szCs w:val="22"/>
          <w:lang w:val="sr-Cyrl-RS"/>
        </w:rPr>
        <w:t>а-југ</w:t>
      </w:r>
      <w:r w:rsidRPr="00F84ECC">
        <w:rPr>
          <w:rFonts w:ascii="Tahoma" w:hAnsi="Tahoma" w:cs="Tahoma"/>
          <w:bCs/>
          <w:color w:val="000000" w:themeColor="text1"/>
          <w:sz w:val="22"/>
          <w:szCs w:val="22"/>
          <w:lang w:val="sr-Cyrl-RS"/>
        </w:rPr>
        <w:t xml:space="preserve"> бележи </w:t>
      </w:r>
      <w:r w:rsidR="00AB1F00">
        <w:rPr>
          <w:rFonts w:ascii="Tahoma" w:hAnsi="Tahoma" w:cs="Tahoma"/>
          <w:bCs/>
          <w:color w:val="000000" w:themeColor="text1"/>
          <w:sz w:val="22"/>
          <w:szCs w:val="22"/>
          <w:lang w:val="sr-Cyrl-RS"/>
        </w:rPr>
        <w:t>већи</w:t>
      </w:r>
      <w:r w:rsidRPr="00F84ECC">
        <w:rPr>
          <w:rFonts w:ascii="Tahoma" w:hAnsi="Tahoma" w:cs="Tahoma"/>
          <w:bCs/>
          <w:color w:val="000000" w:themeColor="text1"/>
          <w:sz w:val="22"/>
          <w:szCs w:val="22"/>
          <w:lang w:val="sr-Cyrl-RS"/>
        </w:rPr>
        <w:t xml:space="preserve"> удео корисника ДД који остварују право на основни износ давања од </w:t>
      </w:r>
      <w:r w:rsidR="00AB1F00">
        <w:rPr>
          <w:rFonts w:ascii="Tahoma" w:hAnsi="Tahoma" w:cs="Tahoma"/>
          <w:bCs/>
          <w:color w:val="000000" w:themeColor="text1"/>
          <w:sz w:val="22"/>
          <w:szCs w:val="22"/>
          <w:lang w:val="sr-Cyrl-RS"/>
        </w:rPr>
        <w:t>општине Смедеревска Паланка</w:t>
      </w:r>
      <w:r w:rsidRPr="00F84ECC">
        <w:rPr>
          <w:rFonts w:ascii="Tahoma" w:hAnsi="Tahoma" w:cs="Tahoma"/>
          <w:bCs/>
          <w:color w:val="000000" w:themeColor="text1"/>
          <w:sz w:val="22"/>
          <w:szCs w:val="22"/>
          <w:lang w:val="sr-Cyrl-RS"/>
        </w:rPr>
        <w:t xml:space="preserve">. </w:t>
      </w:r>
      <w:r w:rsidR="00215A79">
        <w:rPr>
          <w:rFonts w:ascii="Tahoma" w:hAnsi="Tahoma" w:cs="Tahoma"/>
          <w:bCs/>
          <w:color w:val="000000" w:themeColor="text1"/>
          <w:sz w:val="22"/>
          <w:szCs w:val="22"/>
          <w:lang w:val="sr-Cyrl-RS"/>
        </w:rPr>
        <w:t>С друге стране</w:t>
      </w:r>
      <w:r w:rsidR="00AB1F00">
        <w:rPr>
          <w:rFonts w:ascii="Tahoma" w:hAnsi="Tahoma" w:cs="Tahoma"/>
          <w:bCs/>
          <w:color w:val="000000" w:themeColor="text1"/>
          <w:sz w:val="22"/>
          <w:szCs w:val="22"/>
          <w:lang w:val="sr-Cyrl-RS"/>
        </w:rPr>
        <w:t>,</w:t>
      </w:r>
      <w:r w:rsidR="00215A79">
        <w:rPr>
          <w:rFonts w:ascii="Tahoma" w:hAnsi="Tahoma" w:cs="Tahoma"/>
          <w:bCs/>
          <w:color w:val="000000" w:themeColor="text1"/>
          <w:sz w:val="22"/>
          <w:szCs w:val="22"/>
          <w:lang w:val="sr-Cyrl-RS"/>
        </w:rPr>
        <w:t xml:space="preserve"> укупан обухват, укључујући и онај који се односи на кориснике основног износа</w:t>
      </w:r>
      <w:r w:rsidR="00AB1F00">
        <w:rPr>
          <w:rFonts w:ascii="Tahoma" w:hAnsi="Tahoma" w:cs="Tahoma"/>
          <w:bCs/>
          <w:color w:val="000000" w:themeColor="text1"/>
          <w:sz w:val="22"/>
          <w:szCs w:val="22"/>
          <w:lang w:val="sr-Cyrl-RS"/>
        </w:rPr>
        <w:t xml:space="preserve">, </w:t>
      </w:r>
      <w:r w:rsidR="00215A79">
        <w:rPr>
          <w:rFonts w:ascii="Tahoma" w:hAnsi="Tahoma" w:cs="Tahoma"/>
          <w:bCs/>
          <w:color w:val="000000" w:themeColor="text1"/>
          <w:sz w:val="22"/>
          <w:szCs w:val="22"/>
          <w:lang w:val="sr-Cyrl-RS"/>
        </w:rPr>
        <w:t xml:space="preserve">је </w:t>
      </w:r>
      <w:r w:rsidR="00AB1F00">
        <w:rPr>
          <w:rFonts w:ascii="Tahoma" w:hAnsi="Tahoma" w:cs="Tahoma"/>
          <w:bCs/>
          <w:color w:val="000000" w:themeColor="text1"/>
          <w:sz w:val="22"/>
          <w:szCs w:val="22"/>
          <w:lang w:val="sr-Cyrl-RS"/>
        </w:rPr>
        <w:t xml:space="preserve">нешто </w:t>
      </w:r>
      <w:r w:rsidR="00215A79">
        <w:rPr>
          <w:rFonts w:ascii="Tahoma" w:hAnsi="Tahoma" w:cs="Tahoma"/>
          <w:bCs/>
          <w:color w:val="000000" w:themeColor="text1"/>
          <w:sz w:val="22"/>
          <w:szCs w:val="22"/>
          <w:lang w:val="sr-Cyrl-RS"/>
        </w:rPr>
        <w:t xml:space="preserve">виши него у Подунавској области. </w:t>
      </w:r>
      <w:r w:rsidR="004A3DB2">
        <w:rPr>
          <w:rFonts w:ascii="Tahoma" w:hAnsi="Tahoma" w:cs="Tahoma"/>
          <w:bCs/>
          <w:color w:val="000000" w:themeColor="text1"/>
          <w:sz w:val="22"/>
          <w:szCs w:val="22"/>
          <w:lang w:val="sr-Cyrl-RS"/>
        </w:rPr>
        <w:t>Ц</w:t>
      </w:r>
    </w:p>
    <w:p w14:paraId="518D0BCE" w14:textId="41A68010" w:rsidR="0061034E" w:rsidRPr="00807F2B" w:rsidRDefault="0061034E" w:rsidP="007327A7">
      <w:pPr>
        <w:spacing w:after="160" w:line="259" w:lineRule="auto"/>
        <w:jc w:val="both"/>
        <w:rPr>
          <w:rFonts w:ascii="Tahoma" w:hAnsi="Tahoma" w:cs="Tahoma"/>
          <w:bCs/>
          <w:sz w:val="22"/>
          <w:szCs w:val="22"/>
          <w:lang w:val="sr-Cyrl-RS"/>
        </w:rPr>
      </w:pPr>
      <w:r w:rsidRPr="00B80EE0">
        <w:rPr>
          <w:rFonts w:ascii="Tahoma" w:hAnsi="Tahoma" w:cs="Tahoma"/>
          <w:bCs/>
          <w:sz w:val="22"/>
          <w:szCs w:val="22"/>
          <w:lang w:val="sr-Cyrl-RS"/>
        </w:rPr>
        <w:t xml:space="preserve">Обухват </w:t>
      </w:r>
      <w:r w:rsidR="001B0A10" w:rsidRPr="00B80EE0">
        <w:rPr>
          <w:rFonts w:ascii="Tahoma" w:hAnsi="Tahoma" w:cs="Tahoma"/>
          <w:bCs/>
          <w:sz w:val="22"/>
          <w:szCs w:val="22"/>
          <w:lang w:val="sr-Cyrl-RS"/>
        </w:rPr>
        <w:t>ј</w:t>
      </w:r>
      <w:r w:rsidRPr="00B80EE0">
        <w:rPr>
          <w:rFonts w:ascii="Tahoma" w:hAnsi="Tahoma" w:cs="Tahoma"/>
          <w:bCs/>
          <w:sz w:val="22"/>
          <w:szCs w:val="22"/>
          <w:lang w:val="sr-Cyrl-RS"/>
        </w:rPr>
        <w:t xml:space="preserve">е </w:t>
      </w:r>
      <w:r w:rsidR="00E266F1" w:rsidRPr="00B80EE0">
        <w:rPr>
          <w:rFonts w:ascii="Tahoma" w:hAnsi="Tahoma" w:cs="Tahoma"/>
          <w:bCs/>
          <w:sz w:val="22"/>
          <w:szCs w:val="22"/>
          <w:lang w:val="sr-Cyrl-RS"/>
        </w:rPr>
        <w:t>током времена стагнирао</w:t>
      </w:r>
      <w:r w:rsidR="00BC0001">
        <w:rPr>
          <w:rFonts w:ascii="Tahoma" w:hAnsi="Tahoma" w:cs="Tahoma"/>
          <w:bCs/>
          <w:sz w:val="22"/>
          <w:szCs w:val="22"/>
          <w:lang w:val="sr-Cyrl-RS"/>
        </w:rPr>
        <w:t xml:space="preserve"> и благо осцилирао</w:t>
      </w:r>
      <w:r w:rsidR="00E266F1" w:rsidRPr="00B80EE0">
        <w:rPr>
          <w:rFonts w:ascii="Tahoma" w:hAnsi="Tahoma" w:cs="Tahoma"/>
          <w:bCs/>
          <w:sz w:val="22"/>
          <w:szCs w:val="22"/>
          <w:lang w:val="sr-Cyrl-RS"/>
        </w:rPr>
        <w:t xml:space="preserve">, да би </w:t>
      </w:r>
      <w:r w:rsidR="00BC0001">
        <w:rPr>
          <w:rFonts w:ascii="Tahoma" w:hAnsi="Tahoma" w:cs="Tahoma"/>
          <w:bCs/>
          <w:sz w:val="22"/>
          <w:szCs w:val="22"/>
          <w:lang w:val="sr-Cyrl-RS"/>
        </w:rPr>
        <w:t xml:space="preserve">током последње три године </w:t>
      </w:r>
      <w:r w:rsidR="00E266F1" w:rsidRPr="00B80EE0">
        <w:rPr>
          <w:rFonts w:ascii="Tahoma" w:hAnsi="Tahoma" w:cs="Tahoma"/>
          <w:bCs/>
          <w:sz w:val="22"/>
          <w:szCs w:val="22"/>
          <w:lang w:val="sr-Cyrl-RS"/>
        </w:rPr>
        <w:t>почео да се смањује</w:t>
      </w:r>
      <w:r w:rsidRPr="00B80EE0">
        <w:rPr>
          <w:rFonts w:ascii="Tahoma" w:hAnsi="Tahoma" w:cs="Tahoma"/>
          <w:bCs/>
          <w:sz w:val="22"/>
          <w:szCs w:val="22"/>
          <w:lang w:val="sr-Cyrl-RS"/>
        </w:rPr>
        <w:t xml:space="preserve">. </w:t>
      </w:r>
    </w:p>
    <w:p w14:paraId="575A40D1" w14:textId="5DB5A058" w:rsidR="0061034E" w:rsidRDefault="0061034E" w:rsidP="007327A7">
      <w:pPr>
        <w:spacing w:after="160" w:line="259" w:lineRule="auto"/>
        <w:jc w:val="both"/>
        <w:rPr>
          <w:rFonts w:ascii="Tahoma" w:hAnsi="Tahoma" w:cs="Tahoma"/>
          <w:bCs/>
          <w:sz w:val="10"/>
          <w:szCs w:val="10"/>
          <w:lang w:val="sr-Cyrl-RS"/>
        </w:rPr>
      </w:pPr>
    </w:p>
    <w:p w14:paraId="1BD52983" w14:textId="598B3AA4" w:rsidR="00CF03A1" w:rsidRDefault="00CF03A1" w:rsidP="007327A7">
      <w:pPr>
        <w:spacing w:after="160" w:line="259" w:lineRule="auto"/>
        <w:jc w:val="both"/>
        <w:rPr>
          <w:rFonts w:ascii="Tahoma" w:hAnsi="Tahoma" w:cs="Tahoma"/>
          <w:bCs/>
          <w:sz w:val="10"/>
          <w:szCs w:val="10"/>
          <w:lang w:val="sr-Cyrl-RS"/>
        </w:rPr>
      </w:pPr>
    </w:p>
    <w:p w14:paraId="4D557C58" w14:textId="639022D8" w:rsidR="00170BDA" w:rsidRDefault="00170BDA" w:rsidP="007327A7">
      <w:pPr>
        <w:spacing w:after="160" w:line="259" w:lineRule="auto"/>
        <w:jc w:val="both"/>
        <w:rPr>
          <w:rFonts w:ascii="Tahoma" w:hAnsi="Tahoma" w:cs="Tahoma"/>
          <w:bCs/>
          <w:sz w:val="10"/>
          <w:szCs w:val="10"/>
          <w:lang w:val="sr-Cyrl-RS"/>
        </w:rPr>
      </w:pPr>
    </w:p>
    <w:p w14:paraId="2B95A15F" w14:textId="77777777" w:rsidR="00170BDA" w:rsidRDefault="00170BDA" w:rsidP="007327A7">
      <w:pPr>
        <w:spacing w:after="160" w:line="259" w:lineRule="auto"/>
        <w:jc w:val="both"/>
        <w:rPr>
          <w:rFonts w:ascii="Tahoma" w:hAnsi="Tahoma" w:cs="Tahoma"/>
          <w:bCs/>
          <w:sz w:val="10"/>
          <w:szCs w:val="10"/>
          <w:lang w:val="sr-Cyrl-RS"/>
        </w:rPr>
      </w:pPr>
    </w:p>
    <w:p w14:paraId="13678BD7" w14:textId="77777777" w:rsidR="00CF03A1" w:rsidRPr="00667E15" w:rsidRDefault="00CF03A1" w:rsidP="007327A7">
      <w:pPr>
        <w:spacing w:after="160" w:line="259" w:lineRule="auto"/>
        <w:jc w:val="both"/>
        <w:rPr>
          <w:rFonts w:ascii="Tahoma" w:hAnsi="Tahoma" w:cs="Tahoma"/>
          <w:bCs/>
          <w:sz w:val="10"/>
          <w:szCs w:val="10"/>
          <w:lang w:val="sr-Cyrl-RS"/>
        </w:rPr>
      </w:pPr>
    </w:p>
    <w:p w14:paraId="15A61C39" w14:textId="4DE0257E" w:rsidR="00767422" w:rsidRPr="00AF40AE" w:rsidRDefault="0061034E" w:rsidP="007327A7">
      <w:pPr>
        <w:spacing w:after="160" w:line="259" w:lineRule="auto"/>
        <w:jc w:val="both"/>
        <w:rPr>
          <w:rFonts w:ascii="Tahoma" w:hAnsi="Tahoma" w:cs="Tahoma"/>
          <w:color w:val="2F5496"/>
          <w:sz w:val="22"/>
          <w:szCs w:val="22"/>
          <w:lang w:val="sr-Latn-RS"/>
        </w:rPr>
      </w:pPr>
      <w:r w:rsidRPr="00667E15">
        <w:rPr>
          <w:rFonts w:ascii="Tahoma" w:hAnsi="Tahoma" w:cs="Tahoma"/>
          <w:color w:val="2F5496"/>
          <w:sz w:val="22"/>
          <w:szCs w:val="22"/>
          <w:lang w:val="sr-Cyrl-RS"/>
        </w:rPr>
        <w:lastRenderedPageBreak/>
        <w:t>Табела 1. Обухват програмима за смањење сиромаштва у надлежности националног нивоа (НСП и ДД</w:t>
      </w:r>
      <w:r w:rsidR="00667E15" w:rsidRPr="00667E15">
        <w:rPr>
          <w:rFonts w:ascii="Tahoma" w:hAnsi="Tahoma" w:cs="Tahoma"/>
          <w:color w:val="2F5496"/>
          <w:sz w:val="22"/>
          <w:szCs w:val="22"/>
          <w:lang w:val="sr-Cyrl-RS"/>
        </w:rPr>
        <w:t>, у %</w:t>
      </w:r>
      <w:r w:rsidRPr="00667E15">
        <w:rPr>
          <w:rFonts w:ascii="Tahoma" w:hAnsi="Tahoma" w:cs="Tahoma"/>
          <w:color w:val="2F5496"/>
          <w:sz w:val="22"/>
          <w:szCs w:val="22"/>
          <w:lang w:val="sr-Cyrl-RS"/>
        </w:rPr>
        <w:t>), 20</w:t>
      </w:r>
      <w:r w:rsidR="00F63E99">
        <w:rPr>
          <w:rFonts w:ascii="Tahoma" w:hAnsi="Tahoma" w:cs="Tahoma"/>
          <w:color w:val="2F5496"/>
          <w:sz w:val="22"/>
          <w:szCs w:val="22"/>
          <w:lang w:val="sr-Latn-RS"/>
        </w:rPr>
        <w:t>20</w:t>
      </w:r>
      <w:r w:rsidRPr="00667E15">
        <w:rPr>
          <w:rFonts w:ascii="Tahoma" w:hAnsi="Tahoma" w:cs="Tahoma"/>
          <w:color w:val="2F5496"/>
          <w:sz w:val="22"/>
          <w:szCs w:val="22"/>
          <w:lang w:val="sr-Cyrl-RS"/>
        </w:rPr>
        <w:t>.</w:t>
      </w:r>
      <w:r w:rsidR="00667E15" w:rsidRPr="00667E15">
        <w:rPr>
          <w:rFonts w:ascii="Tahoma" w:hAnsi="Tahoma" w:cs="Tahoma"/>
          <w:color w:val="2F5496"/>
          <w:sz w:val="22"/>
          <w:szCs w:val="22"/>
          <w:lang w:val="sr-Cyrl-RS"/>
        </w:rPr>
        <w:t xml:space="preserve"> </w:t>
      </w:r>
    </w:p>
    <w:tbl>
      <w:tblPr>
        <w:tblStyle w:val="GridTable5Dark-Accent51"/>
        <w:tblpPr w:leftFromText="180" w:rightFromText="180" w:vertAnchor="text" w:horzAnchor="margin" w:tblpX="-10" w:tblpY="4"/>
        <w:tblW w:w="9350" w:type="dxa"/>
        <w:tblLayout w:type="fixed"/>
        <w:tblLook w:val="04A0" w:firstRow="1" w:lastRow="0" w:firstColumn="1" w:lastColumn="0" w:noHBand="0" w:noVBand="1"/>
      </w:tblPr>
      <w:tblGrid>
        <w:gridCol w:w="4652"/>
        <w:gridCol w:w="1733"/>
        <w:gridCol w:w="1530"/>
        <w:gridCol w:w="1435"/>
      </w:tblGrid>
      <w:tr w:rsidR="000316BF" w:rsidRPr="00361404" w14:paraId="4C443E32" w14:textId="77777777" w:rsidTr="004C68F9">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4652" w:type="dxa"/>
            <w:tcBorders>
              <w:right w:val="single" w:sz="4" w:space="0" w:color="FFFFFF" w:themeColor="background1"/>
            </w:tcBorders>
            <w:shd w:val="clear" w:color="auto" w:fill="2F5496" w:themeFill="accent1" w:themeFillShade="BF"/>
          </w:tcPr>
          <w:p w14:paraId="04D67B32" w14:textId="77777777" w:rsidR="000316BF" w:rsidRPr="00361404" w:rsidRDefault="000316BF" w:rsidP="00624B5E">
            <w:pPr>
              <w:spacing w:after="160" w:line="259" w:lineRule="auto"/>
              <w:jc w:val="both"/>
              <w:rPr>
                <w:rFonts w:ascii="Tahoma" w:hAnsi="Tahoma" w:cs="Tahoma"/>
                <w:sz w:val="21"/>
                <w:szCs w:val="21"/>
                <w:lang w:val="sr-Cyrl-RS"/>
              </w:rPr>
            </w:pPr>
          </w:p>
        </w:tc>
        <w:tc>
          <w:tcPr>
            <w:tcW w:w="1733" w:type="dxa"/>
            <w:tcBorders>
              <w:left w:val="single" w:sz="4" w:space="0" w:color="FFFFFF" w:themeColor="background1"/>
              <w:right w:val="single" w:sz="4" w:space="0" w:color="FFFFFF" w:themeColor="background1"/>
            </w:tcBorders>
            <w:shd w:val="clear" w:color="auto" w:fill="2F5496" w:themeFill="accent1" w:themeFillShade="BF"/>
            <w:vAlign w:val="center"/>
          </w:tcPr>
          <w:p w14:paraId="3340D28E" w14:textId="196CC37F" w:rsidR="000316BF" w:rsidRPr="004C68F9" w:rsidRDefault="004C68F9" w:rsidP="00DC3601">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sz w:val="21"/>
                <w:szCs w:val="21"/>
                <w:lang w:val="sr-Cyrl-RS"/>
              </w:rPr>
            </w:pPr>
            <w:r>
              <w:rPr>
                <w:rFonts w:ascii="Tahoma" w:hAnsi="Tahoma" w:cs="Tahoma"/>
                <w:sz w:val="21"/>
                <w:szCs w:val="21"/>
                <w:lang w:val="sr-Cyrl-RS"/>
              </w:rPr>
              <w:t>Смедеревска Паланка</w:t>
            </w:r>
          </w:p>
        </w:tc>
        <w:tc>
          <w:tcPr>
            <w:tcW w:w="1530" w:type="dxa"/>
            <w:tcBorders>
              <w:left w:val="single" w:sz="4" w:space="0" w:color="FFFFFF" w:themeColor="background1"/>
              <w:right w:val="single" w:sz="4" w:space="0" w:color="FFFFFF" w:themeColor="background1"/>
            </w:tcBorders>
            <w:shd w:val="clear" w:color="auto" w:fill="2F5496" w:themeFill="accent1" w:themeFillShade="BF"/>
            <w:vAlign w:val="center"/>
          </w:tcPr>
          <w:p w14:paraId="6635C942" w14:textId="5B9E8108" w:rsidR="000316BF" w:rsidRDefault="004C68F9" w:rsidP="00DC3601">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sz w:val="21"/>
                <w:szCs w:val="21"/>
                <w:lang w:val="sr-Cyrl-RS"/>
              </w:rPr>
            </w:pPr>
            <w:r>
              <w:rPr>
                <w:rFonts w:ascii="Tahoma" w:hAnsi="Tahoma" w:cs="Tahoma"/>
                <w:sz w:val="21"/>
                <w:szCs w:val="21"/>
                <w:lang w:val="sr-Cyrl-RS"/>
              </w:rPr>
              <w:t>Подунавска</w:t>
            </w:r>
            <w:r w:rsidR="000316BF">
              <w:rPr>
                <w:rFonts w:ascii="Tahoma" w:hAnsi="Tahoma" w:cs="Tahoma"/>
                <w:sz w:val="21"/>
                <w:szCs w:val="21"/>
                <w:lang w:val="sr-Cyrl-RS"/>
              </w:rPr>
              <w:t xml:space="preserve"> област</w:t>
            </w:r>
          </w:p>
        </w:tc>
        <w:tc>
          <w:tcPr>
            <w:tcW w:w="1435" w:type="dxa"/>
            <w:tcBorders>
              <w:left w:val="single" w:sz="4" w:space="0" w:color="FFFFFF" w:themeColor="background1"/>
            </w:tcBorders>
            <w:shd w:val="clear" w:color="auto" w:fill="2F5496" w:themeFill="accent1" w:themeFillShade="BF"/>
            <w:vAlign w:val="center"/>
          </w:tcPr>
          <w:p w14:paraId="58DA5D90" w14:textId="548750DB" w:rsidR="000316BF" w:rsidRPr="00361404" w:rsidRDefault="000316BF" w:rsidP="00DC3601">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sz w:val="21"/>
                <w:szCs w:val="21"/>
                <w:lang w:val="sr-Cyrl-RS"/>
              </w:rPr>
            </w:pPr>
            <w:r>
              <w:rPr>
                <w:rFonts w:ascii="Tahoma" w:hAnsi="Tahoma" w:cs="Tahoma"/>
                <w:sz w:val="21"/>
                <w:szCs w:val="21"/>
                <w:lang w:val="sr-Cyrl-RS"/>
              </w:rPr>
              <w:t>Србија-југ</w:t>
            </w:r>
          </w:p>
        </w:tc>
      </w:tr>
      <w:tr w:rsidR="000316BF" w:rsidRPr="00361404" w14:paraId="65A7FB2B" w14:textId="77777777" w:rsidTr="004C68F9">
        <w:trPr>
          <w:cnfStyle w:val="000000100000" w:firstRow="0" w:lastRow="0" w:firstColumn="0" w:lastColumn="0" w:oddVBand="0" w:evenVBand="0" w:oddHBand="1"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4652" w:type="dxa"/>
            <w:shd w:val="clear" w:color="auto" w:fill="D9E2F3" w:themeFill="accent1" w:themeFillTint="33"/>
          </w:tcPr>
          <w:p w14:paraId="7112D8AE" w14:textId="77777777" w:rsidR="000316BF" w:rsidRPr="00B02F97" w:rsidRDefault="000316BF" w:rsidP="00624B5E">
            <w:pPr>
              <w:spacing w:after="160" w:line="259" w:lineRule="auto"/>
              <w:jc w:val="both"/>
              <w:rPr>
                <w:rFonts w:ascii="Tahoma" w:hAnsi="Tahoma" w:cs="Tahoma"/>
                <w:color w:val="1F3864" w:themeColor="accent1" w:themeShade="80"/>
                <w:sz w:val="21"/>
                <w:szCs w:val="21"/>
                <w:lang w:val="sr-Cyrl-RS"/>
              </w:rPr>
            </w:pPr>
            <w:r w:rsidRPr="00B02F97">
              <w:rPr>
                <w:rFonts w:ascii="Tahoma" w:hAnsi="Tahoma" w:cs="Tahoma"/>
                <w:color w:val="1F3864" w:themeColor="accent1" w:themeShade="80"/>
                <w:sz w:val="21"/>
                <w:szCs w:val="21"/>
                <w:lang w:val="sr-Cyrl-RS"/>
              </w:rPr>
              <w:t>Удео корисника новчане социјалне помоћи у укупној популацији</w:t>
            </w:r>
          </w:p>
        </w:tc>
        <w:tc>
          <w:tcPr>
            <w:tcW w:w="1733" w:type="dxa"/>
            <w:shd w:val="clear" w:color="auto" w:fill="D9E2F3" w:themeFill="accent1" w:themeFillTint="33"/>
            <w:vAlign w:val="center"/>
          </w:tcPr>
          <w:p w14:paraId="7B0F8737" w14:textId="5A31D3CC" w:rsidR="000316BF" w:rsidRPr="001A6A3F" w:rsidRDefault="00234918" w:rsidP="00A16ED1">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rPr>
            </w:pPr>
            <w:r>
              <w:rPr>
                <w:rFonts w:ascii="Tahoma" w:hAnsi="Tahoma" w:cs="Tahoma"/>
                <w:sz w:val="21"/>
                <w:szCs w:val="21"/>
              </w:rPr>
              <w:t>2,7</w:t>
            </w:r>
          </w:p>
        </w:tc>
        <w:tc>
          <w:tcPr>
            <w:tcW w:w="1530" w:type="dxa"/>
            <w:shd w:val="clear" w:color="auto" w:fill="D9E2F3" w:themeFill="accent1" w:themeFillTint="33"/>
            <w:vAlign w:val="center"/>
          </w:tcPr>
          <w:p w14:paraId="415B83BC" w14:textId="782A8B57" w:rsidR="000316BF" w:rsidRPr="00A16ED1" w:rsidRDefault="00234918" w:rsidP="00A16ED1">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rPr>
            </w:pPr>
            <w:r>
              <w:rPr>
                <w:rFonts w:ascii="Tahoma" w:hAnsi="Tahoma" w:cs="Tahoma"/>
                <w:sz w:val="21"/>
                <w:szCs w:val="21"/>
              </w:rPr>
              <w:t>2,7</w:t>
            </w:r>
          </w:p>
        </w:tc>
        <w:tc>
          <w:tcPr>
            <w:tcW w:w="1435" w:type="dxa"/>
            <w:shd w:val="clear" w:color="auto" w:fill="D9E2F3" w:themeFill="accent1" w:themeFillTint="33"/>
            <w:vAlign w:val="center"/>
          </w:tcPr>
          <w:p w14:paraId="1DC33A80" w14:textId="09432551" w:rsidR="000316BF" w:rsidRPr="00B84897" w:rsidRDefault="000316BF" w:rsidP="00DA7A9E">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lang w:val="sr-Cyrl-RS"/>
              </w:rPr>
            </w:pPr>
            <w:r>
              <w:rPr>
                <w:rFonts w:ascii="Tahoma" w:hAnsi="Tahoma" w:cs="Tahoma"/>
                <w:sz w:val="21"/>
                <w:szCs w:val="21"/>
                <w:lang w:val="sr-Cyrl-RS"/>
              </w:rPr>
              <w:t>3,</w:t>
            </w:r>
            <w:r w:rsidR="00794AC6">
              <w:rPr>
                <w:rFonts w:ascii="Tahoma" w:hAnsi="Tahoma" w:cs="Tahoma"/>
                <w:sz w:val="21"/>
                <w:szCs w:val="21"/>
                <w:lang w:val="sr-Cyrl-RS"/>
              </w:rPr>
              <w:t>5</w:t>
            </w:r>
          </w:p>
        </w:tc>
      </w:tr>
      <w:tr w:rsidR="000316BF" w:rsidRPr="00361404" w14:paraId="1A2FB719" w14:textId="77777777" w:rsidTr="004C68F9">
        <w:trPr>
          <w:trHeight w:val="461"/>
        </w:trPr>
        <w:tc>
          <w:tcPr>
            <w:cnfStyle w:val="001000000000" w:firstRow="0" w:lastRow="0" w:firstColumn="1" w:lastColumn="0" w:oddVBand="0" w:evenVBand="0" w:oddHBand="0" w:evenHBand="0" w:firstRowFirstColumn="0" w:firstRowLastColumn="0" w:lastRowFirstColumn="0" w:lastRowLastColumn="0"/>
            <w:tcW w:w="4652" w:type="dxa"/>
            <w:shd w:val="clear" w:color="auto" w:fill="B4C6E7" w:themeFill="accent1" w:themeFillTint="66"/>
          </w:tcPr>
          <w:p w14:paraId="785B8313" w14:textId="77777777" w:rsidR="000316BF" w:rsidRPr="00B02F97" w:rsidRDefault="000316BF" w:rsidP="00624B5E">
            <w:pPr>
              <w:spacing w:after="160" w:line="259" w:lineRule="auto"/>
              <w:jc w:val="both"/>
              <w:rPr>
                <w:rFonts w:ascii="Tahoma" w:hAnsi="Tahoma" w:cs="Tahoma"/>
                <w:color w:val="1F3864" w:themeColor="accent1" w:themeShade="80"/>
                <w:sz w:val="21"/>
                <w:szCs w:val="21"/>
                <w:lang w:val="sr-Cyrl-RS"/>
              </w:rPr>
            </w:pPr>
            <w:r w:rsidRPr="00B02F97">
              <w:rPr>
                <w:rFonts w:ascii="Tahoma" w:hAnsi="Tahoma" w:cs="Tahoma"/>
                <w:color w:val="1F3864" w:themeColor="accent1" w:themeShade="80"/>
                <w:sz w:val="21"/>
                <w:szCs w:val="21"/>
                <w:lang w:val="sr-Cyrl-RS"/>
              </w:rPr>
              <w:t>Удео корисника ДД у популацији 0-19</w:t>
            </w:r>
          </w:p>
        </w:tc>
        <w:tc>
          <w:tcPr>
            <w:tcW w:w="1733" w:type="dxa"/>
            <w:shd w:val="clear" w:color="auto" w:fill="B4C6E7" w:themeFill="accent1" w:themeFillTint="66"/>
          </w:tcPr>
          <w:p w14:paraId="69C063AA" w14:textId="3EED0637" w:rsidR="000316BF" w:rsidRPr="00A16ED1" w:rsidRDefault="00234918" w:rsidP="00DA7A9E">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rPr>
            </w:pPr>
            <w:r>
              <w:rPr>
                <w:rFonts w:ascii="Tahoma" w:hAnsi="Tahoma" w:cs="Tahoma"/>
                <w:sz w:val="21"/>
                <w:szCs w:val="21"/>
              </w:rPr>
              <w:t>17,6</w:t>
            </w:r>
          </w:p>
        </w:tc>
        <w:tc>
          <w:tcPr>
            <w:tcW w:w="1530" w:type="dxa"/>
            <w:shd w:val="clear" w:color="auto" w:fill="B4C6E7" w:themeFill="accent1" w:themeFillTint="66"/>
            <w:vAlign w:val="center"/>
          </w:tcPr>
          <w:p w14:paraId="2A93FA3D" w14:textId="3945D331" w:rsidR="000316BF" w:rsidRPr="00F42EB7" w:rsidRDefault="00234918" w:rsidP="00A16ED1">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rPr>
            </w:pPr>
            <w:r>
              <w:rPr>
                <w:rFonts w:ascii="Tahoma" w:hAnsi="Tahoma" w:cs="Tahoma"/>
                <w:sz w:val="21"/>
                <w:szCs w:val="21"/>
              </w:rPr>
              <w:t>15,1</w:t>
            </w:r>
          </w:p>
        </w:tc>
        <w:tc>
          <w:tcPr>
            <w:tcW w:w="1435" w:type="dxa"/>
            <w:shd w:val="clear" w:color="auto" w:fill="B4C6E7" w:themeFill="accent1" w:themeFillTint="66"/>
          </w:tcPr>
          <w:p w14:paraId="14BC6307" w14:textId="6ED98A1A" w:rsidR="000316BF" w:rsidRPr="00BE6734" w:rsidRDefault="000316BF" w:rsidP="00DA7A9E">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highlight w:val="yellow"/>
              </w:rPr>
            </w:pPr>
            <w:r w:rsidRPr="00F42EB7">
              <w:rPr>
                <w:rFonts w:ascii="Tahoma" w:hAnsi="Tahoma" w:cs="Tahoma"/>
                <w:sz w:val="21"/>
                <w:szCs w:val="21"/>
              </w:rPr>
              <w:t>23,</w:t>
            </w:r>
            <w:r>
              <w:rPr>
                <w:rFonts w:ascii="Tahoma" w:hAnsi="Tahoma" w:cs="Tahoma"/>
                <w:sz w:val="21"/>
                <w:szCs w:val="21"/>
              </w:rPr>
              <w:t>3</w:t>
            </w:r>
          </w:p>
        </w:tc>
      </w:tr>
      <w:tr w:rsidR="000316BF" w:rsidRPr="00361404" w14:paraId="15AC9427" w14:textId="77777777" w:rsidTr="004C68F9">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4652" w:type="dxa"/>
            <w:shd w:val="clear" w:color="auto" w:fill="D9E2F3" w:themeFill="accent1" w:themeFillTint="33"/>
          </w:tcPr>
          <w:p w14:paraId="338FEC5C" w14:textId="77777777" w:rsidR="000316BF" w:rsidRPr="00767422" w:rsidRDefault="000316BF" w:rsidP="00624B5E">
            <w:pPr>
              <w:spacing w:after="160" w:line="259" w:lineRule="auto"/>
              <w:jc w:val="both"/>
              <w:rPr>
                <w:rFonts w:ascii="Tahoma" w:hAnsi="Tahoma" w:cs="Tahoma"/>
                <w:b w:val="0"/>
                <w:bCs w:val="0"/>
                <w:i/>
                <w:iCs/>
                <w:color w:val="1F3864" w:themeColor="accent1" w:themeShade="80"/>
                <w:sz w:val="21"/>
                <w:szCs w:val="21"/>
                <w:lang w:val="sr-Cyrl-RS"/>
              </w:rPr>
            </w:pPr>
            <w:r w:rsidRPr="00767422">
              <w:rPr>
                <w:rFonts w:ascii="Tahoma" w:hAnsi="Tahoma" w:cs="Tahoma"/>
                <w:b w:val="0"/>
                <w:bCs w:val="0"/>
                <w:i/>
                <w:iCs/>
                <w:color w:val="1F3864" w:themeColor="accent1" w:themeShade="80"/>
                <w:sz w:val="21"/>
                <w:szCs w:val="21"/>
                <w:lang w:val="sr-Cyrl-RS"/>
              </w:rPr>
              <w:t>Удео корисника ДД (основни износ)</w:t>
            </w:r>
          </w:p>
        </w:tc>
        <w:tc>
          <w:tcPr>
            <w:tcW w:w="1733" w:type="dxa"/>
            <w:shd w:val="clear" w:color="auto" w:fill="D9E2F3" w:themeFill="accent1" w:themeFillTint="33"/>
          </w:tcPr>
          <w:p w14:paraId="336B5AB1" w14:textId="1863C539" w:rsidR="000316BF" w:rsidRPr="00A16ED1" w:rsidRDefault="00234918" w:rsidP="00DA7A9E">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i/>
                <w:iCs/>
                <w:sz w:val="21"/>
                <w:szCs w:val="21"/>
              </w:rPr>
            </w:pPr>
            <w:r>
              <w:rPr>
                <w:rFonts w:ascii="Tahoma" w:hAnsi="Tahoma" w:cs="Tahoma"/>
                <w:i/>
                <w:iCs/>
                <w:sz w:val="21"/>
                <w:szCs w:val="21"/>
              </w:rPr>
              <w:t>15,3</w:t>
            </w:r>
          </w:p>
        </w:tc>
        <w:tc>
          <w:tcPr>
            <w:tcW w:w="1530" w:type="dxa"/>
            <w:shd w:val="clear" w:color="auto" w:fill="D9E2F3" w:themeFill="accent1" w:themeFillTint="33"/>
            <w:vAlign w:val="center"/>
          </w:tcPr>
          <w:p w14:paraId="655211C7" w14:textId="575223CD" w:rsidR="000316BF" w:rsidRPr="00F42EB7" w:rsidRDefault="00234918" w:rsidP="00A16ED1">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i/>
                <w:iCs/>
                <w:sz w:val="21"/>
                <w:szCs w:val="21"/>
              </w:rPr>
            </w:pPr>
            <w:r>
              <w:rPr>
                <w:rFonts w:ascii="Tahoma" w:hAnsi="Tahoma" w:cs="Tahoma"/>
                <w:i/>
                <w:iCs/>
                <w:sz w:val="21"/>
                <w:szCs w:val="21"/>
              </w:rPr>
              <w:t>12,0</w:t>
            </w:r>
          </w:p>
        </w:tc>
        <w:tc>
          <w:tcPr>
            <w:tcW w:w="1435" w:type="dxa"/>
            <w:shd w:val="clear" w:color="auto" w:fill="D9E2F3" w:themeFill="accent1" w:themeFillTint="33"/>
          </w:tcPr>
          <w:p w14:paraId="388306E7" w14:textId="09F3B421" w:rsidR="000316BF" w:rsidRPr="00F42EB7" w:rsidRDefault="000316BF" w:rsidP="00DA7A9E">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i/>
                <w:iCs/>
                <w:sz w:val="21"/>
                <w:szCs w:val="21"/>
                <w:highlight w:val="yellow"/>
              </w:rPr>
            </w:pPr>
            <w:r w:rsidRPr="00F42EB7">
              <w:rPr>
                <w:rFonts w:ascii="Tahoma" w:hAnsi="Tahoma" w:cs="Tahoma"/>
                <w:i/>
                <w:iCs/>
                <w:sz w:val="21"/>
                <w:szCs w:val="21"/>
              </w:rPr>
              <w:t>19,1</w:t>
            </w:r>
          </w:p>
        </w:tc>
      </w:tr>
      <w:tr w:rsidR="000316BF" w:rsidRPr="00361404" w14:paraId="7C92FC5D" w14:textId="77777777" w:rsidTr="004C68F9">
        <w:trPr>
          <w:trHeight w:val="445"/>
        </w:trPr>
        <w:tc>
          <w:tcPr>
            <w:cnfStyle w:val="001000000000" w:firstRow="0" w:lastRow="0" w:firstColumn="1" w:lastColumn="0" w:oddVBand="0" w:evenVBand="0" w:oddHBand="0" w:evenHBand="0" w:firstRowFirstColumn="0" w:firstRowLastColumn="0" w:lastRowFirstColumn="0" w:lastRowLastColumn="0"/>
            <w:tcW w:w="4652" w:type="dxa"/>
            <w:shd w:val="clear" w:color="auto" w:fill="B4C6E7" w:themeFill="accent1" w:themeFillTint="66"/>
          </w:tcPr>
          <w:p w14:paraId="18BC538B" w14:textId="77777777" w:rsidR="000316BF" w:rsidRPr="00361404" w:rsidRDefault="000316BF" w:rsidP="00624B5E">
            <w:pPr>
              <w:spacing w:after="160" w:line="259" w:lineRule="auto"/>
              <w:jc w:val="both"/>
              <w:rPr>
                <w:rFonts w:ascii="Tahoma" w:hAnsi="Tahoma" w:cs="Tahoma"/>
                <w:color w:val="1F3864" w:themeColor="accent1" w:themeShade="80"/>
                <w:sz w:val="21"/>
                <w:szCs w:val="21"/>
                <w:lang w:val="sr-Cyrl-RS"/>
              </w:rPr>
            </w:pPr>
            <w:r w:rsidRPr="00767422">
              <w:rPr>
                <w:rFonts w:ascii="Tahoma" w:hAnsi="Tahoma" w:cs="Tahoma"/>
                <w:b w:val="0"/>
                <w:bCs w:val="0"/>
                <w:i/>
                <w:iCs/>
                <w:color w:val="1F3864" w:themeColor="accent1" w:themeShade="80"/>
                <w:sz w:val="21"/>
                <w:szCs w:val="21"/>
                <w:lang w:val="sr-Cyrl-RS"/>
              </w:rPr>
              <w:t>Удео корисника ДД (</w:t>
            </w:r>
            <w:r>
              <w:rPr>
                <w:rFonts w:ascii="Tahoma" w:hAnsi="Tahoma" w:cs="Tahoma"/>
                <w:b w:val="0"/>
                <w:bCs w:val="0"/>
                <w:i/>
                <w:iCs/>
                <w:color w:val="1F3864" w:themeColor="accent1" w:themeShade="80"/>
                <w:sz w:val="21"/>
                <w:szCs w:val="21"/>
                <w:lang w:val="sr-Cyrl-RS"/>
              </w:rPr>
              <w:t>увећани</w:t>
            </w:r>
            <w:r w:rsidRPr="00767422">
              <w:rPr>
                <w:rFonts w:ascii="Tahoma" w:hAnsi="Tahoma" w:cs="Tahoma"/>
                <w:b w:val="0"/>
                <w:bCs w:val="0"/>
                <w:i/>
                <w:iCs/>
                <w:color w:val="1F3864" w:themeColor="accent1" w:themeShade="80"/>
                <w:sz w:val="21"/>
                <w:szCs w:val="21"/>
                <w:lang w:val="sr-Cyrl-RS"/>
              </w:rPr>
              <w:t xml:space="preserve"> износ)</w:t>
            </w:r>
          </w:p>
        </w:tc>
        <w:tc>
          <w:tcPr>
            <w:tcW w:w="1733" w:type="dxa"/>
            <w:shd w:val="clear" w:color="auto" w:fill="B4C6E7" w:themeFill="accent1" w:themeFillTint="66"/>
          </w:tcPr>
          <w:p w14:paraId="0BDDB7E4" w14:textId="552CE394" w:rsidR="000316BF" w:rsidRPr="00A16ED1" w:rsidRDefault="00234918" w:rsidP="00DA7A9E">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i/>
                <w:iCs/>
                <w:sz w:val="21"/>
                <w:szCs w:val="21"/>
              </w:rPr>
            </w:pPr>
            <w:r>
              <w:rPr>
                <w:rFonts w:ascii="Tahoma" w:hAnsi="Tahoma" w:cs="Tahoma"/>
                <w:i/>
                <w:iCs/>
                <w:sz w:val="21"/>
                <w:szCs w:val="21"/>
              </w:rPr>
              <w:t>2,3</w:t>
            </w:r>
          </w:p>
        </w:tc>
        <w:tc>
          <w:tcPr>
            <w:tcW w:w="1530" w:type="dxa"/>
            <w:shd w:val="clear" w:color="auto" w:fill="B4C6E7" w:themeFill="accent1" w:themeFillTint="66"/>
            <w:vAlign w:val="center"/>
          </w:tcPr>
          <w:p w14:paraId="278BC02C" w14:textId="20F4C3EA" w:rsidR="000316BF" w:rsidRPr="00F42EB7" w:rsidRDefault="00234918" w:rsidP="00A16ED1">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i/>
                <w:iCs/>
                <w:sz w:val="21"/>
                <w:szCs w:val="21"/>
              </w:rPr>
            </w:pPr>
            <w:r>
              <w:rPr>
                <w:rFonts w:ascii="Tahoma" w:hAnsi="Tahoma" w:cs="Tahoma"/>
                <w:i/>
                <w:iCs/>
                <w:sz w:val="21"/>
                <w:szCs w:val="21"/>
              </w:rPr>
              <w:t>3,1</w:t>
            </w:r>
          </w:p>
        </w:tc>
        <w:tc>
          <w:tcPr>
            <w:tcW w:w="1435" w:type="dxa"/>
            <w:shd w:val="clear" w:color="auto" w:fill="B4C6E7" w:themeFill="accent1" w:themeFillTint="66"/>
          </w:tcPr>
          <w:p w14:paraId="53E468BD" w14:textId="1880FD8D" w:rsidR="000316BF" w:rsidRPr="00956CC1" w:rsidRDefault="000316BF" w:rsidP="00DA7A9E">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i/>
                <w:iCs/>
                <w:sz w:val="21"/>
                <w:szCs w:val="21"/>
                <w:highlight w:val="yellow"/>
                <w:lang w:val="sr-Cyrl-RS"/>
              </w:rPr>
            </w:pPr>
            <w:r w:rsidRPr="00F42EB7">
              <w:rPr>
                <w:rFonts w:ascii="Tahoma" w:hAnsi="Tahoma" w:cs="Tahoma"/>
                <w:i/>
                <w:iCs/>
                <w:sz w:val="21"/>
                <w:szCs w:val="21"/>
              </w:rPr>
              <w:t>4,</w:t>
            </w:r>
            <w:r>
              <w:rPr>
                <w:rFonts w:ascii="Tahoma" w:hAnsi="Tahoma" w:cs="Tahoma"/>
                <w:i/>
                <w:iCs/>
                <w:sz w:val="21"/>
                <w:szCs w:val="21"/>
              </w:rPr>
              <w:t>2</w:t>
            </w:r>
          </w:p>
        </w:tc>
      </w:tr>
    </w:tbl>
    <w:p w14:paraId="1E9324B3" w14:textId="0480A205" w:rsidR="00767422" w:rsidRDefault="009A7970" w:rsidP="003D046B">
      <w:pPr>
        <w:spacing w:line="259" w:lineRule="auto"/>
        <w:jc w:val="both"/>
        <w:rPr>
          <w:rFonts w:ascii="Tahoma" w:hAnsi="Tahoma" w:cs="Tahoma"/>
          <w:sz w:val="18"/>
          <w:szCs w:val="18"/>
        </w:rPr>
      </w:pPr>
      <w:r w:rsidRPr="00AF3C50">
        <w:rPr>
          <w:rFonts w:ascii="Tahoma" w:hAnsi="Tahoma" w:cs="Tahoma"/>
          <w:sz w:val="18"/>
          <w:szCs w:val="18"/>
          <w:lang w:val="sr-Cyrl-RS"/>
        </w:rPr>
        <w:t>Извор: ДевИнфо база</w:t>
      </w:r>
      <w:r>
        <w:rPr>
          <w:rFonts w:ascii="Tahoma" w:hAnsi="Tahoma" w:cs="Tahoma"/>
          <w:sz w:val="18"/>
          <w:szCs w:val="18"/>
        </w:rPr>
        <w:t>,</w:t>
      </w:r>
      <w:r w:rsidRPr="00AF3C50">
        <w:rPr>
          <w:rFonts w:ascii="Tahoma" w:hAnsi="Tahoma" w:cs="Tahoma"/>
          <w:sz w:val="18"/>
          <w:szCs w:val="18"/>
          <w:lang w:val="sr-Cyrl-RS"/>
        </w:rPr>
        <w:t xml:space="preserve"> </w:t>
      </w:r>
      <w:r>
        <w:rPr>
          <w:rFonts w:ascii="Tahoma" w:hAnsi="Tahoma" w:cs="Tahoma"/>
          <w:sz w:val="18"/>
          <w:szCs w:val="18"/>
          <w:lang w:val="sr-Cyrl-RS"/>
        </w:rPr>
        <w:t xml:space="preserve">Витална статистика </w:t>
      </w:r>
      <w:r w:rsidRPr="00AF3C50">
        <w:rPr>
          <w:rFonts w:ascii="Tahoma" w:hAnsi="Tahoma" w:cs="Tahoma"/>
          <w:sz w:val="18"/>
          <w:szCs w:val="18"/>
          <w:lang w:val="sr-Cyrl-RS"/>
        </w:rPr>
        <w:t>Републички завод за статистику</w:t>
      </w:r>
      <w:r>
        <w:rPr>
          <w:rFonts w:ascii="Tahoma" w:hAnsi="Tahoma" w:cs="Tahoma"/>
          <w:sz w:val="18"/>
          <w:szCs w:val="18"/>
          <w:lang w:val="sr-Cyrl-RS"/>
        </w:rPr>
        <w:t>, калкулација аутора</w:t>
      </w:r>
      <w:r>
        <w:rPr>
          <w:rFonts w:ascii="Tahoma" w:hAnsi="Tahoma" w:cs="Tahoma"/>
          <w:sz w:val="18"/>
          <w:szCs w:val="18"/>
        </w:rPr>
        <w:t>.</w:t>
      </w:r>
    </w:p>
    <w:p w14:paraId="097307A1" w14:textId="7717AAFB" w:rsidR="009A7970" w:rsidRPr="009A7970" w:rsidRDefault="009A7970" w:rsidP="003D046B">
      <w:pPr>
        <w:spacing w:line="259" w:lineRule="auto"/>
        <w:jc w:val="both"/>
        <w:rPr>
          <w:rFonts w:ascii="Tahoma" w:hAnsi="Tahoma" w:cs="Tahoma"/>
          <w:color w:val="2F5496"/>
          <w:sz w:val="22"/>
          <w:szCs w:val="22"/>
          <w:lang w:val="sr-Cyrl-RS"/>
        </w:rPr>
      </w:pPr>
      <w:r>
        <w:rPr>
          <w:rFonts w:ascii="Tahoma" w:hAnsi="Tahoma" w:cs="Tahoma"/>
          <w:sz w:val="18"/>
          <w:szCs w:val="18"/>
          <w:lang w:val="sr-Cyrl-RS"/>
        </w:rPr>
        <w:t>Напомена: Стање на дан 31.12.20</w:t>
      </w:r>
      <w:r w:rsidR="007B3AE5">
        <w:rPr>
          <w:rFonts w:ascii="Tahoma" w:hAnsi="Tahoma" w:cs="Tahoma"/>
          <w:sz w:val="18"/>
          <w:szCs w:val="18"/>
          <w:lang w:val="sr-Cyrl-RS"/>
        </w:rPr>
        <w:t>20</w:t>
      </w:r>
      <w:r>
        <w:rPr>
          <w:rFonts w:ascii="Tahoma" w:hAnsi="Tahoma" w:cs="Tahoma"/>
          <w:sz w:val="18"/>
          <w:szCs w:val="18"/>
          <w:lang w:val="sr-Cyrl-RS"/>
        </w:rPr>
        <w:t>.</w:t>
      </w:r>
    </w:p>
    <w:p w14:paraId="7FC49021" w14:textId="3808EE63" w:rsidR="00C45ED4" w:rsidRPr="0025247C" w:rsidRDefault="00C45ED4" w:rsidP="007327A7">
      <w:pPr>
        <w:spacing w:after="160" w:line="259" w:lineRule="auto"/>
        <w:jc w:val="both"/>
        <w:rPr>
          <w:rFonts w:ascii="Tahoma" w:hAnsi="Tahoma" w:cs="Tahoma"/>
          <w:bCs/>
          <w:sz w:val="10"/>
          <w:szCs w:val="10"/>
          <w:lang w:val="sr-Cyrl-RS"/>
        </w:rPr>
      </w:pPr>
    </w:p>
    <w:p w14:paraId="784B8A91" w14:textId="0980799E" w:rsidR="00E506C6" w:rsidRPr="0025247C" w:rsidRDefault="00E506C6" w:rsidP="007327A7">
      <w:pPr>
        <w:spacing w:after="160" w:line="259" w:lineRule="auto"/>
        <w:jc w:val="both"/>
        <w:rPr>
          <w:rFonts w:ascii="Tahoma" w:hAnsi="Tahoma" w:cs="Tahoma"/>
          <w:bCs/>
          <w:color w:val="2F5496" w:themeColor="accent1" w:themeShade="BF"/>
          <w:sz w:val="22"/>
          <w:szCs w:val="22"/>
          <w:lang w:val="sr-Cyrl-RS"/>
        </w:rPr>
      </w:pPr>
      <w:r w:rsidRPr="0025247C">
        <w:rPr>
          <w:rFonts w:ascii="Tahoma" w:hAnsi="Tahoma" w:cs="Tahoma"/>
          <w:bCs/>
          <w:color w:val="2F5496" w:themeColor="accent1" w:themeShade="BF"/>
          <w:sz w:val="22"/>
          <w:szCs w:val="22"/>
          <w:lang w:val="sr-Cyrl-RS"/>
        </w:rPr>
        <w:t>Графикон 2:</w:t>
      </w:r>
      <w:r w:rsidR="009668FE" w:rsidRPr="0025247C">
        <w:rPr>
          <w:rFonts w:ascii="Tahoma" w:hAnsi="Tahoma" w:cs="Tahoma"/>
          <w:bCs/>
          <w:color w:val="2F5496" w:themeColor="accent1" w:themeShade="BF"/>
          <w:sz w:val="22"/>
          <w:szCs w:val="22"/>
          <w:lang w:val="sr-Cyrl-RS"/>
        </w:rPr>
        <w:t xml:space="preserve"> </w:t>
      </w:r>
      <w:r w:rsidRPr="0025247C">
        <w:rPr>
          <w:rFonts w:ascii="Tahoma" w:hAnsi="Tahoma" w:cs="Tahoma"/>
          <w:bCs/>
          <w:color w:val="2F5496" w:themeColor="accent1" w:themeShade="BF"/>
          <w:sz w:val="22"/>
          <w:szCs w:val="22"/>
          <w:lang w:val="sr-Cyrl-RS"/>
        </w:rPr>
        <w:t xml:space="preserve">Број корисника дечијег додатка, </w:t>
      </w:r>
      <w:r w:rsidR="00B772D4">
        <w:rPr>
          <w:rFonts w:ascii="Tahoma" w:hAnsi="Tahoma" w:cs="Tahoma"/>
          <w:bCs/>
          <w:color w:val="2F5496" w:themeColor="accent1" w:themeShade="BF"/>
          <w:sz w:val="22"/>
          <w:szCs w:val="22"/>
          <w:lang w:val="sr-Cyrl-RS"/>
        </w:rPr>
        <w:t>општина</w:t>
      </w:r>
      <w:r w:rsidRPr="0025247C">
        <w:rPr>
          <w:rFonts w:ascii="Tahoma" w:hAnsi="Tahoma" w:cs="Tahoma"/>
          <w:bCs/>
          <w:color w:val="2F5496" w:themeColor="accent1" w:themeShade="BF"/>
          <w:sz w:val="22"/>
          <w:szCs w:val="22"/>
          <w:lang w:val="sr-Cyrl-RS"/>
        </w:rPr>
        <w:t xml:space="preserve"> </w:t>
      </w:r>
      <w:r w:rsidR="00234918">
        <w:rPr>
          <w:rFonts w:ascii="Tahoma" w:hAnsi="Tahoma" w:cs="Tahoma"/>
          <w:bCs/>
          <w:color w:val="2F5496" w:themeColor="accent1" w:themeShade="BF"/>
          <w:sz w:val="22"/>
          <w:szCs w:val="22"/>
          <w:lang w:val="sr-Cyrl-RS"/>
        </w:rPr>
        <w:t>Смедеревска Паланка</w:t>
      </w:r>
      <w:r w:rsidRPr="0025247C">
        <w:rPr>
          <w:rFonts w:ascii="Tahoma" w:hAnsi="Tahoma" w:cs="Tahoma"/>
          <w:bCs/>
          <w:color w:val="2F5496" w:themeColor="accent1" w:themeShade="BF"/>
          <w:sz w:val="22"/>
          <w:szCs w:val="22"/>
          <w:lang w:val="sr-Cyrl-RS"/>
        </w:rPr>
        <w:t>, 2010-20</w:t>
      </w:r>
      <w:r w:rsidR="001B55E6">
        <w:rPr>
          <w:rFonts w:ascii="Tahoma" w:hAnsi="Tahoma" w:cs="Tahoma"/>
          <w:bCs/>
          <w:color w:val="2F5496" w:themeColor="accent1" w:themeShade="BF"/>
          <w:sz w:val="22"/>
          <w:szCs w:val="22"/>
          <w:lang w:val="sr-Cyrl-RS"/>
        </w:rPr>
        <w:t>20</w:t>
      </w:r>
      <w:r w:rsidRPr="0025247C">
        <w:rPr>
          <w:rFonts w:ascii="Tahoma" w:hAnsi="Tahoma" w:cs="Tahoma"/>
          <w:bCs/>
          <w:color w:val="2F5496" w:themeColor="accent1" w:themeShade="BF"/>
          <w:sz w:val="22"/>
          <w:szCs w:val="22"/>
          <w:lang w:val="sr-Cyrl-RS"/>
        </w:rPr>
        <w:t>.</w:t>
      </w:r>
    </w:p>
    <w:p w14:paraId="4F940C43" w14:textId="1D50A743" w:rsidR="005A1B51" w:rsidRPr="001B55E6" w:rsidRDefault="00234918" w:rsidP="007327A7">
      <w:pPr>
        <w:spacing w:after="160" w:line="259" w:lineRule="auto"/>
        <w:jc w:val="both"/>
        <w:rPr>
          <w:rFonts w:asciiTheme="minorHAnsi" w:hAnsiTheme="minorHAnsi"/>
          <w:lang w:val="sr-Cyrl-RS"/>
        </w:rPr>
      </w:pPr>
      <w:r>
        <w:rPr>
          <w:noProof/>
        </w:rPr>
        <w:drawing>
          <wp:inline distT="0" distB="0" distL="0" distR="0" wp14:anchorId="3A2D75B4" wp14:editId="7D09555A">
            <wp:extent cx="4572000" cy="2743200"/>
            <wp:effectExtent l="0" t="0" r="0" b="0"/>
            <wp:docPr id="1" name="Chart 1">
              <a:extLst xmlns:a="http://schemas.openxmlformats.org/drawingml/2006/main">
                <a:ext uri="{FF2B5EF4-FFF2-40B4-BE49-F238E27FC236}">
                  <a16:creationId xmlns:a16="http://schemas.microsoft.com/office/drawing/2014/main" id="{8C9A6DD4-6ED0-F012-BAB6-547FF98DC3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F64F9ED" w14:textId="33C458D3" w:rsidR="00AF33B9" w:rsidRPr="00374361" w:rsidRDefault="00374361" w:rsidP="007327A7">
      <w:pPr>
        <w:spacing w:after="160" w:line="259" w:lineRule="auto"/>
        <w:jc w:val="both"/>
        <w:rPr>
          <w:rFonts w:asciiTheme="minorHAnsi" w:hAnsiTheme="minorHAnsi"/>
        </w:rPr>
      </w:pPr>
      <w:r w:rsidRPr="00AF3C50">
        <w:rPr>
          <w:rFonts w:ascii="Tahoma" w:hAnsi="Tahoma" w:cs="Tahoma"/>
          <w:sz w:val="18"/>
          <w:szCs w:val="18"/>
          <w:lang w:val="sr-Cyrl-RS"/>
        </w:rPr>
        <w:t>Извор: ДевИнфо база</w:t>
      </w:r>
      <w:r>
        <w:rPr>
          <w:rFonts w:ascii="Tahoma" w:hAnsi="Tahoma" w:cs="Tahoma"/>
          <w:sz w:val="18"/>
          <w:szCs w:val="18"/>
        </w:rPr>
        <w:t>,</w:t>
      </w:r>
      <w:r w:rsidRPr="00AF3C50">
        <w:rPr>
          <w:rFonts w:ascii="Tahoma" w:hAnsi="Tahoma" w:cs="Tahoma"/>
          <w:sz w:val="18"/>
          <w:szCs w:val="18"/>
          <w:lang w:val="sr-Cyrl-RS"/>
        </w:rPr>
        <w:t xml:space="preserve"> Републички завод за статистику</w:t>
      </w:r>
      <w:r>
        <w:rPr>
          <w:rFonts w:ascii="Tahoma" w:hAnsi="Tahoma" w:cs="Tahoma"/>
          <w:sz w:val="18"/>
          <w:szCs w:val="18"/>
        </w:rPr>
        <w:t>.</w:t>
      </w:r>
    </w:p>
    <w:p w14:paraId="0536D2BB" w14:textId="77777777" w:rsidR="009668FE" w:rsidRPr="00374361" w:rsidRDefault="009668FE" w:rsidP="007327A7">
      <w:pPr>
        <w:spacing w:after="160" w:line="259" w:lineRule="auto"/>
        <w:jc w:val="both"/>
        <w:rPr>
          <w:rFonts w:ascii="Tahoma" w:hAnsi="Tahoma" w:cs="Tahoma"/>
          <w:bCs/>
          <w:sz w:val="22"/>
          <w:szCs w:val="22"/>
          <w:lang w:val="sr-Cyrl-RS"/>
        </w:rPr>
      </w:pPr>
    </w:p>
    <w:p w14:paraId="523ABFBC" w14:textId="07654B9F" w:rsidR="008046A9" w:rsidRPr="00F23FEF" w:rsidRDefault="008046A9" w:rsidP="007327A7">
      <w:pPr>
        <w:shd w:val="clear" w:color="auto" w:fill="D9E2F3" w:themeFill="accent1" w:themeFillTint="33"/>
        <w:spacing w:after="160" w:line="259" w:lineRule="auto"/>
        <w:jc w:val="both"/>
        <w:rPr>
          <w:rFonts w:ascii="Tahoma" w:hAnsi="Tahoma" w:cs="Tahoma"/>
          <w:b/>
          <w:color w:val="1F3864" w:themeColor="accent1" w:themeShade="80"/>
          <w:sz w:val="22"/>
          <w:szCs w:val="22"/>
          <w:lang w:val="sr-Cyrl-RS"/>
        </w:rPr>
      </w:pPr>
      <w:r w:rsidRPr="00F23FEF">
        <w:rPr>
          <w:rFonts w:ascii="Tahoma" w:hAnsi="Tahoma" w:cs="Tahoma"/>
          <w:b/>
          <w:color w:val="1F3864" w:themeColor="accent1" w:themeShade="80"/>
          <w:sz w:val="22"/>
          <w:szCs w:val="22"/>
          <w:lang w:val="sr-Cyrl-RS"/>
        </w:rPr>
        <w:t>Б</w:t>
      </w:r>
      <w:r w:rsidR="00374361" w:rsidRPr="00F23FEF">
        <w:rPr>
          <w:rFonts w:ascii="Tahoma" w:hAnsi="Tahoma" w:cs="Tahoma"/>
          <w:b/>
          <w:color w:val="1F3864" w:themeColor="accent1" w:themeShade="80"/>
          <w:sz w:val="22"/>
          <w:szCs w:val="22"/>
          <w:lang w:val="sr-Cyrl-RS"/>
        </w:rPr>
        <w:t xml:space="preserve">окс </w:t>
      </w:r>
      <w:r w:rsidRPr="00F23FEF">
        <w:rPr>
          <w:rFonts w:ascii="Tahoma" w:hAnsi="Tahoma" w:cs="Tahoma"/>
          <w:b/>
          <w:color w:val="1F3864" w:themeColor="accent1" w:themeShade="80"/>
          <w:sz w:val="22"/>
          <w:szCs w:val="22"/>
          <w:lang w:val="sr-Cyrl-RS"/>
        </w:rPr>
        <w:t>1. Н</w:t>
      </w:r>
      <w:r w:rsidR="00374361" w:rsidRPr="00F23FEF">
        <w:rPr>
          <w:rFonts w:ascii="Tahoma" w:hAnsi="Tahoma" w:cs="Tahoma"/>
          <w:b/>
          <w:color w:val="1F3864" w:themeColor="accent1" w:themeShade="80"/>
          <w:sz w:val="22"/>
          <w:szCs w:val="22"/>
          <w:lang w:val="sr-Cyrl-RS"/>
        </w:rPr>
        <w:t>едостаци анализе обухвата програмом НСП и ДД на локалном нивоу</w:t>
      </w:r>
    </w:p>
    <w:p w14:paraId="048CDA6B" w14:textId="3C7CFFE1" w:rsidR="008046A9" w:rsidRPr="00374361" w:rsidRDefault="008046A9" w:rsidP="007327A7">
      <w:pPr>
        <w:shd w:val="clear" w:color="auto" w:fill="D9E2F3" w:themeFill="accent1" w:themeFillTint="33"/>
        <w:spacing w:after="160" w:line="259" w:lineRule="auto"/>
        <w:jc w:val="both"/>
        <w:rPr>
          <w:rFonts w:ascii="Tahoma" w:hAnsi="Tahoma" w:cs="Tahoma"/>
          <w:sz w:val="22"/>
          <w:szCs w:val="22"/>
          <w:lang w:val="sr-Cyrl-RS"/>
        </w:rPr>
      </w:pPr>
      <w:r w:rsidRPr="00374361">
        <w:rPr>
          <w:rFonts w:ascii="Tahoma" w:hAnsi="Tahoma" w:cs="Tahoma"/>
          <w:sz w:val="22"/>
          <w:szCs w:val="22"/>
          <w:lang w:val="sr-Cyrl-RS"/>
        </w:rPr>
        <w:t>Удео корисника појединих програма социјалне помоћи који су усмерени на сиромашне у укупној популацији (или одговарајућој старосној групи) често се идентификује као показатељ социјалне заштите или се користи за креирање различитих индекса на локалном нивоу. Адекватнији показатељ би био обухват сиромашних - удео корисника ових програма у укупном броју сиромашних. Подаци о распрострањености сиромаштва који се за национални ниво оцењују уз помоћ анкета, нису, међутим, расположиви за локални ниво.</w:t>
      </w:r>
    </w:p>
    <w:p w14:paraId="439E9AD7" w14:textId="77777777" w:rsidR="008730FA" w:rsidRPr="00374361" w:rsidRDefault="008730FA" w:rsidP="007327A7">
      <w:pPr>
        <w:shd w:val="clear" w:color="auto" w:fill="D9E2F3" w:themeFill="accent1" w:themeFillTint="33"/>
        <w:spacing w:after="160" w:line="259" w:lineRule="auto"/>
        <w:jc w:val="both"/>
        <w:rPr>
          <w:rFonts w:ascii="Tahoma" w:hAnsi="Tahoma" w:cs="Tahoma"/>
          <w:sz w:val="10"/>
          <w:szCs w:val="10"/>
          <w:lang w:val="sr-Cyrl-RS"/>
        </w:rPr>
      </w:pPr>
    </w:p>
    <w:p w14:paraId="7E11B4C4" w14:textId="77777777" w:rsidR="005A1B51" w:rsidRPr="00C55DB8" w:rsidRDefault="005A1B51" w:rsidP="007327A7">
      <w:pPr>
        <w:spacing w:after="160" w:line="259" w:lineRule="auto"/>
        <w:jc w:val="both"/>
        <w:rPr>
          <w:rFonts w:ascii="Tahoma" w:hAnsi="Tahoma" w:cs="Tahoma"/>
          <w:bCs/>
          <w:sz w:val="10"/>
          <w:szCs w:val="10"/>
          <w:lang w:val="sr-Cyrl-RS"/>
        </w:rPr>
      </w:pPr>
    </w:p>
    <w:p w14:paraId="01618B19" w14:textId="38148B8F" w:rsidR="008046A9" w:rsidRPr="00C55DB8" w:rsidRDefault="00A469FE" w:rsidP="007327A7">
      <w:pPr>
        <w:spacing w:after="160" w:line="259" w:lineRule="auto"/>
        <w:jc w:val="both"/>
        <w:rPr>
          <w:rFonts w:ascii="Tahoma" w:hAnsi="Tahoma" w:cs="Tahoma"/>
          <w:bCs/>
          <w:iCs/>
          <w:sz w:val="22"/>
          <w:szCs w:val="22"/>
          <w:lang w:val="sr-Cyrl-RS"/>
        </w:rPr>
      </w:pPr>
      <w:r w:rsidRPr="00C55DB8">
        <w:rPr>
          <w:rFonts w:ascii="Tahoma" w:hAnsi="Tahoma" w:cs="Tahoma"/>
          <w:b/>
          <w:bCs/>
          <w:color w:val="2F5496"/>
          <w:sz w:val="22"/>
          <w:szCs w:val="22"/>
          <w:lang w:val="sr-Cyrl-RS"/>
        </w:rPr>
        <w:lastRenderedPageBreak/>
        <w:t>Капацитет</w:t>
      </w:r>
      <w:r w:rsidR="008046A9" w:rsidRPr="00C55DB8">
        <w:rPr>
          <w:rFonts w:ascii="Tahoma" w:hAnsi="Tahoma" w:cs="Tahoma"/>
          <w:b/>
          <w:bCs/>
          <w:color w:val="2F5496"/>
          <w:sz w:val="22"/>
          <w:szCs w:val="22"/>
          <w:lang w:val="sr-Cyrl-RS"/>
        </w:rPr>
        <w:t xml:space="preserve"> за администрирање социјалне заштите у </w:t>
      </w:r>
      <w:r w:rsidR="00752006">
        <w:rPr>
          <w:rFonts w:ascii="Tahoma" w:hAnsi="Tahoma" w:cs="Tahoma"/>
          <w:b/>
          <w:bCs/>
          <w:color w:val="2F5496"/>
          <w:sz w:val="22"/>
          <w:szCs w:val="22"/>
          <w:lang w:val="sr-Cyrl-RS"/>
        </w:rPr>
        <w:t>општини Смедеревска Паланка</w:t>
      </w:r>
      <w:r w:rsidR="008046A9" w:rsidRPr="00C55DB8">
        <w:rPr>
          <w:rFonts w:ascii="Tahoma" w:hAnsi="Tahoma" w:cs="Tahoma"/>
          <w:b/>
          <w:bCs/>
          <w:color w:val="2F5496"/>
          <w:sz w:val="22"/>
          <w:szCs w:val="22"/>
          <w:lang w:val="sr-Cyrl-RS"/>
        </w:rPr>
        <w:t xml:space="preserve"> је </w:t>
      </w:r>
      <w:r w:rsidR="00411E6C">
        <w:rPr>
          <w:rFonts w:ascii="Tahoma" w:hAnsi="Tahoma" w:cs="Tahoma"/>
          <w:b/>
          <w:bCs/>
          <w:color w:val="2F5496"/>
          <w:sz w:val="22"/>
          <w:szCs w:val="22"/>
          <w:lang w:val="sr-Cyrl-RS"/>
        </w:rPr>
        <w:t>приближно на нивоу просека Подунавске области, али је  не</w:t>
      </w:r>
      <w:r w:rsidR="0079403D">
        <w:rPr>
          <w:rFonts w:ascii="Tahoma" w:hAnsi="Tahoma" w:cs="Tahoma"/>
          <w:b/>
          <w:bCs/>
          <w:color w:val="2F5496"/>
          <w:sz w:val="22"/>
          <w:szCs w:val="22"/>
          <w:lang w:val="sr-Cyrl-RS"/>
        </w:rPr>
        <w:t>повољнији</w:t>
      </w:r>
      <w:r w:rsidR="00130D5A">
        <w:rPr>
          <w:rFonts w:ascii="Tahoma" w:hAnsi="Tahoma" w:cs="Tahoma"/>
          <w:b/>
          <w:bCs/>
          <w:color w:val="2F5496"/>
          <w:sz w:val="22"/>
          <w:szCs w:val="22"/>
          <w:lang w:val="sr-Cyrl-RS"/>
        </w:rPr>
        <w:t xml:space="preserve"> </w:t>
      </w:r>
      <w:r w:rsidR="00C55DB8" w:rsidRPr="00C55DB8">
        <w:rPr>
          <w:rFonts w:ascii="Tahoma" w:hAnsi="Tahoma" w:cs="Tahoma"/>
          <w:b/>
          <w:bCs/>
          <w:color w:val="2F5496"/>
          <w:sz w:val="22"/>
          <w:szCs w:val="22"/>
          <w:lang w:val="sr-Cyrl-RS"/>
        </w:rPr>
        <w:t xml:space="preserve">него у другим </w:t>
      </w:r>
      <w:r w:rsidR="00C55DB8" w:rsidRPr="00C2762C">
        <w:rPr>
          <w:rFonts w:ascii="Tahoma" w:hAnsi="Tahoma" w:cs="Tahoma"/>
          <w:b/>
          <w:bCs/>
          <w:color w:val="2F5496"/>
          <w:sz w:val="22"/>
          <w:szCs w:val="22"/>
          <w:lang w:val="sr-Cyrl-RS"/>
        </w:rPr>
        <w:t>срединама</w:t>
      </w:r>
      <w:r w:rsidR="00C55DB8" w:rsidRPr="00C55DB8">
        <w:rPr>
          <w:rFonts w:ascii="Tahoma" w:hAnsi="Tahoma" w:cs="Tahoma"/>
          <w:b/>
          <w:bCs/>
          <w:color w:val="2F5496"/>
          <w:sz w:val="22"/>
          <w:szCs w:val="22"/>
          <w:lang w:val="sr-Cyrl-RS"/>
        </w:rPr>
        <w:t xml:space="preserve"> </w:t>
      </w:r>
      <w:r w:rsidR="00130D5A">
        <w:rPr>
          <w:rFonts w:ascii="Tahoma" w:hAnsi="Tahoma" w:cs="Tahoma"/>
          <w:b/>
          <w:bCs/>
          <w:color w:val="2F5496"/>
          <w:sz w:val="22"/>
          <w:szCs w:val="22"/>
          <w:lang w:val="sr-Cyrl-RS"/>
        </w:rPr>
        <w:t xml:space="preserve">на </w:t>
      </w:r>
      <w:r w:rsidR="00D2621F">
        <w:rPr>
          <w:rFonts w:ascii="Tahoma" w:hAnsi="Tahoma" w:cs="Tahoma"/>
          <w:b/>
          <w:bCs/>
          <w:color w:val="2F5496"/>
          <w:sz w:val="22"/>
          <w:szCs w:val="22"/>
          <w:lang w:val="sr-Cyrl-RS"/>
        </w:rPr>
        <w:t>подручју</w:t>
      </w:r>
      <w:r w:rsidR="00130D5A">
        <w:rPr>
          <w:rFonts w:ascii="Tahoma" w:hAnsi="Tahoma" w:cs="Tahoma"/>
          <w:b/>
          <w:bCs/>
          <w:color w:val="2F5496"/>
          <w:sz w:val="22"/>
          <w:szCs w:val="22"/>
          <w:lang w:val="sr-Cyrl-RS"/>
        </w:rPr>
        <w:t xml:space="preserve"> </w:t>
      </w:r>
      <w:r w:rsidR="00C55DB8" w:rsidRPr="00C55DB8">
        <w:rPr>
          <w:rFonts w:ascii="Tahoma" w:hAnsi="Tahoma" w:cs="Tahoma"/>
          <w:b/>
          <w:bCs/>
          <w:color w:val="2F5496"/>
          <w:sz w:val="22"/>
          <w:szCs w:val="22"/>
          <w:lang w:val="sr-Cyrl-RS"/>
        </w:rPr>
        <w:t>Србиј</w:t>
      </w:r>
      <w:r w:rsidR="00130D5A">
        <w:rPr>
          <w:rFonts w:ascii="Tahoma" w:hAnsi="Tahoma" w:cs="Tahoma"/>
          <w:b/>
          <w:bCs/>
          <w:color w:val="2F5496"/>
          <w:sz w:val="22"/>
          <w:szCs w:val="22"/>
          <w:lang w:val="sr-Cyrl-RS"/>
        </w:rPr>
        <w:t>а-југ</w:t>
      </w:r>
      <w:r w:rsidR="00411E6C">
        <w:rPr>
          <w:rFonts w:ascii="Tahoma" w:hAnsi="Tahoma" w:cs="Tahoma"/>
          <w:b/>
          <w:bCs/>
          <w:color w:val="2F5496"/>
          <w:sz w:val="22"/>
          <w:szCs w:val="22"/>
          <w:lang w:val="sr-Cyrl-RS"/>
        </w:rPr>
        <w:t>.</w:t>
      </w:r>
      <w:r w:rsidR="008046A9" w:rsidRPr="00C55DB8">
        <w:rPr>
          <w:rFonts w:ascii="Tahoma" w:hAnsi="Tahoma" w:cs="Tahoma"/>
          <w:b/>
          <w:bCs/>
          <w:color w:val="2F5496"/>
          <w:sz w:val="22"/>
          <w:szCs w:val="22"/>
          <w:lang w:val="sr-Cyrl-RS"/>
        </w:rPr>
        <w:t xml:space="preserve"> </w:t>
      </w:r>
      <w:r w:rsidR="00411E6C">
        <w:rPr>
          <w:rFonts w:ascii="Tahoma" w:hAnsi="Tahoma" w:cs="Tahoma"/>
          <w:b/>
          <w:bCs/>
          <w:color w:val="2F5496"/>
          <w:sz w:val="22"/>
          <w:szCs w:val="22"/>
          <w:lang w:val="sr-Cyrl-RS"/>
        </w:rPr>
        <w:t>С друге стране, о</w:t>
      </w:r>
      <w:r w:rsidR="008046A9" w:rsidRPr="00C55DB8">
        <w:rPr>
          <w:rFonts w:ascii="Tahoma" w:hAnsi="Tahoma" w:cs="Tahoma"/>
          <w:b/>
          <w:bCs/>
          <w:color w:val="2F5496"/>
          <w:sz w:val="22"/>
          <w:szCs w:val="22"/>
          <w:lang w:val="sr-Cyrl-RS"/>
        </w:rPr>
        <w:t xml:space="preserve">птерећеност центра за социјални рад </w:t>
      </w:r>
      <w:r w:rsidR="0079403D">
        <w:rPr>
          <w:rFonts w:ascii="Tahoma" w:hAnsi="Tahoma" w:cs="Tahoma"/>
          <w:b/>
          <w:bCs/>
          <w:color w:val="2F5496"/>
          <w:sz w:val="22"/>
          <w:szCs w:val="22"/>
          <w:lang w:val="sr-Cyrl-RS"/>
        </w:rPr>
        <w:t xml:space="preserve">је </w:t>
      </w:r>
      <w:r w:rsidR="00411E6C">
        <w:rPr>
          <w:rFonts w:ascii="Tahoma" w:hAnsi="Tahoma" w:cs="Tahoma"/>
          <w:b/>
          <w:bCs/>
          <w:color w:val="2F5496"/>
          <w:sz w:val="22"/>
          <w:szCs w:val="22"/>
          <w:lang w:val="sr-Cyrl-RS"/>
        </w:rPr>
        <w:t>мања у Смедеревској Паланци (Табела 2)</w:t>
      </w:r>
      <w:r w:rsidR="008046A9" w:rsidRPr="00C55DB8">
        <w:rPr>
          <w:rFonts w:ascii="Tahoma" w:hAnsi="Tahoma" w:cs="Tahoma"/>
          <w:b/>
          <w:bCs/>
          <w:color w:val="2F5496"/>
          <w:sz w:val="22"/>
          <w:szCs w:val="22"/>
          <w:lang w:val="sr-Cyrl-RS"/>
        </w:rPr>
        <w:t>.</w:t>
      </w:r>
      <w:r w:rsidR="008046A9" w:rsidRPr="00C55DB8">
        <w:rPr>
          <w:rFonts w:ascii="Tahoma" w:hAnsi="Tahoma" w:cs="Tahoma"/>
          <w:bCs/>
          <w:iCs/>
          <w:color w:val="2F5496"/>
          <w:sz w:val="22"/>
          <w:szCs w:val="22"/>
          <w:lang w:val="sr-Cyrl-RS"/>
        </w:rPr>
        <w:t xml:space="preserve"> </w:t>
      </w:r>
      <w:r w:rsidRPr="00C55DB8">
        <w:rPr>
          <w:rFonts w:ascii="Tahoma" w:hAnsi="Tahoma" w:cs="Tahoma"/>
          <w:bCs/>
          <w:iCs/>
          <w:sz w:val="22"/>
          <w:szCs w:val="22"/>
          <w:lang w:val="sr-Cyrl-RS"/>
        </w:rPr>
        <w:t>Капацитети</w:t>
      </w:r>
      <w:r w:rsidR="008046A9" w:rsidRPr="00C55DB8">
        <w:rPr>
          <w:rFonts w:ascii="Tahoma" w:hAnsi="Tahoma" w:cs="Tahoma"/>
          <w:bCs/>
          <w:iCs/>
          <w:sz w:val="22"/>
          <w:szCs w:val="22"/>
          <w:lang w:val="sr-Cyrl-RS"/>
        </w:rPr>
        <w:t xml:space="preserve"> за администрирање социјалне и породичне заштите од стране Центра за социјални рад су </w:t>
      </w:r>
      <w:r w:rsidR="00411E6C">
        <w:rPr>
          <w:rFonts w:ascii="Tahoma" w:hAnsi="Tahoma" w:cs="Tahoma"/>
          <w:bCs/>
          <w:iCs/>
          <w:sz w:val="22"/>
          <w:szCs w:val="22"/>
          <w:lang w:val="sr-Cyrl-RS"/>
        </w:rPr>
        <w:t>не</w:t>
      </w:r>
      <w:r w:rsidR="0079403D">
        <w:rPr>
          <w:rFonts w:ascii="Tahoma" w:hAnsi="Tahoma" w:cs="Tahoma"/>
          <w:bCs/>
          <w:iCs/>
          <w:sz w:val="22"/>
          <w:szCs w:val="22"/>
          <w:lang w:val="sr-Cyrl-RS"/>
        </w:rPr>
        <w:t>п</w:t>
      </w:r>
      <w:r w:rsidR="008046A9" w:rsidRPr="00C55DB8">
        <w:rPr>
          <w:rFonts w:ascii="Tahoma" w:hAnsi="Tahoma" w:cs="Tahoma"/>
          <w:bCs/>
          <w:iCs/>
          <w:sz w:val="22"/>
          <w:szCs w:val="22"/>
          <w:lang w:val="sr-Cyrl-RS"/>
        </w:rPr>
        <w:t>овољнији у односу на просек Србиј</w:t>
      </w:r>
      <w:r w:rsidR="000E1BD7">
        <w:rPr>
          <w:rFonts w:ascii="Tahoma" w:hAnsi="Tahoma" w:cs="Tahoma"/>
          <w:bCs/>
          <w:iCs/>
          <w:sz w:val="22"/>
          <w:szCs w:val="22"/>
          <w:lang w:val="sr-Cyrl-RS"/>
        </w:rPr>
        <w:t>а-југ,</w:t>
      </w:r>
      <w:r w:rsidR="008046A9" w:rsidRPr="00C55DB8">
        <w:rPr>
          <w:rFonts w:ascii="Tahoma" w:hAnsi="Tahoma" w:cs="Tahoma"/>
          <w:bCs/>
          <w:iCs/>
          <w:sz w:val="22"/>
          <w:szCs w:val="22"/>
          <w:lang w:val="sr-Cyrl-RS"/>
        </w:rPr>
        <w:t xml:space="preserve"> с обзиром да је број становника на једног стручног радника </w:t>
      </w:r>
      <w:r w:rsidR="00411E6C">
        <w:rPr>
          <w:rFonts w:ascii="Tahoma" w:hAnsi="Tahoma" w:cs="Tahoma"/>
          <w:bCs/>
          <w:iCs/>
          <w:sz w:val="22"/>
          <w:szCs w:val="22"/>
          <w:lang w:val="sr-Cyrl-RS"/>
        </w:rPr>
        <w:t>већи у Смедеревској Паланци</w:t>
      </w:r>
      <w:r w:rsidR="008046A9" w:rsidRPr="00C55DB8">
        <w:rPr>
          <w:rFonts w:ascii="Tahoma" w:hAnsi="Tahoma" w:cs="Tahoma"/>
          <w:bCs/>
          <w:iCs/>
          <w:sz w:val="22"/>
          <w:szCs w:val="22"/>
          <w:lang w:val="sr-Cyrl-RS"/>
        </w:rPr>
        <w:t>.</w:t>
      </w:r>
      <w:r w:rsidR="00411E6C">
        <w:rPr>
          <w:rFonts w:ascii="Tahoma" w:hAnsi="Tahoma" w:cs="Tahoma"/>
          <w:bCs/>
          <w:iCs/>
          <w:sz w:val="22"/>
          <w:szCs w:val="22"/>
          <w:lang w:val="sr-Cyrl-RS"/>
        </w:rPr>
        <w:t xml:space="preserve"> О</w:t>
      </w:r>
      <w:r w:rsidR="008046A9" w:rsidRPr="00C55DB8">
        <w:rPr>
          <w:rFonts w:ascii="Tahoma" w:hAnsi="Tahoma" w:cs="Tahoma"/>
          <w:bCs/>
          <w:iCs/>
          <w:sz w:val="22"/>
          <w:szCs w:val="22"/>
          <w:lang w:val="sr-Cyrl-RS"/>
        </w:rPr>
        <w:t xml:space="preserve">птерећеност Центра за социјални рад је </w:t>
      </w:r>
      <w:r w:rsidR="000E1BD7">
        <w:rPr>
          <w:rFonts w:ascii="Tahoma" w:hAnsi="Tahoma" w:cs="Tahoma"/>
          <w:bCs/>
          <w:iCs/>
          <w:sz w:val="22"/>
          <w:szCs w:val="22"/>
          <w:lang w:val="sr-Cyrl-RS"/>
        </w:rPr>
        <w:t>мања</w:t>
      </w:r>
      <w:r w:rsidR="008046A9" w:rsidRPr="00C55DB8">
        <w:rPr>
          <w:rFonts w:ascii="Tahoma" w:hAnsi="Tahoma" w:cs="Tahoma"/>
          <w:bCs/>
          <w:iCs/>
          <w:sz w:val="22"/>
          <w:szCs w:val="22"/>
          <w:lang w:val="sr-Cyrl-RS"/>
        </w:rPr>
        <w:t xml:space="preserve">, ако имамо у виду да је удео корисника социјалне заштите у укупној популацији </w:t>
      </w:r>
      <w:r w:rsidR="000E1BD7">
        <w:rPr>
          <w:rFonts w:ascii="Tahoma" w:hAnsi="Tahoma" w:cs="Tahoma"/>
          <w:bCs/>
          <w:iCs/>
          <w:sz w:val="22"/>
          <w:szCs w:val="22"/>
          <w:lang w:val="sr-Cyrl-RS"/>
        </w:rPr>
        <w:t xml:space="preserve">мањи него на </w:t>
      </w:r>
      <w:r w:rsidR="0079403D">
        <w:rPr>
          <w:rFonts w:ascii="Tahoma" w:hAnsi="Tahoma" w:cs="Tahoma"/>
          <w:bCs/>
          <w:iCs/>
          <w:sz w:val="22"/>
          <w:szCs w:val="22"/>
          <w:lang w:val="sr-Cyrl-RS"/>
        </w:rPr>
        <w:t>подручју</w:t>
      </w:r>
      <w:r w:rsidR="000E1BD7">
        <w:rPr>
          <w:rFonts w:ascii="Tahoma" w:hAnsi="Tahoma" w:cs="Tahoma"/>
          <w:bCs/>
          <w:iCs/>
          <w:sz w:val="22"/>
          <w:szCs w:val="22"/>
          <w:lang w:val="sr-Cyrl-RS"/>
        </w:rPr>
        <w:t xml:space="preserve"> Србија-југ</w:t>
      </w:r>
      <w:r w:rsidR="00411E6C">
        <w:rPr>
          <w:rFonts w:ascii="Tahoma" w:hAnsi="Tahoma" w:cs="Tahoma"/>
          <w:bCs/>
          <w:iCs/>
          <w:sz w:val="22"/>
          <w:szCs w:val="22"/>
          <w:lang w:val="sr-Cyrl-RS"/>
        </w:rPr>
        <w:t xml:space="preserve"> и на подручју Подунавске области</w:t>
      </w:r>
      <w:r w:rsidR="008046A9" w:rsidRPr="00C55DB8">
        <w:rPr>
          <w:rFonts w:ascii="Tahoma" w:hAnsi="Tahoma" w:cs="Tahoma"/>
          <w:bCs/>
          <w:iCs/>
          <w:sz w:val="22"/>
          <w:szCs w:val="22"/>
          <w:lang w:val="sr-Cyrl-RS"/>
        </w:rPr>
        <w:t xml:space="preserve">. Током времена удео корисника у </w:t>
      </w:r>
      <w:r w:rsidR="00F923A7">
        <w:rPr>
          <w:rFonts w:ascii="Tahoma" w:hAnsi="Tahoma" w:cs="Tahoma"/>
          <w:bCs/>
          <w:iCs/>
          <w:sz w:val="22"/>
          <w:szCs w:val="22"/>
          <w:lang w:val="sr-Cyrl-RS"/>
        </w:rPr>
        <w:t>Смедеревској Паланци</w:t>
      </w:r>
      <w:r w:rsidR="008046A9" w:rsidRPr="00C55DB8">
        <w:rPr>
          <w:rFonts w:ascii="Tahoma" w:hAnsi="Tahoma" w:cs="Tahoma"/>
          <w:bCs/>
          <w:iCs/>
          <w:sz w:val="22"/>
          <w:szCs w:val="22"/>
          <w:lang w:val="sr-Cyrl-RS"/>
        </w:rPr>
        <w:t xml:space="preserve"> је </w:t>
      </w:r>
      <w:r w:rsidR="00F923A7">
        <w:rPr>
          <w:rFonts w:ascii="Tahoma" w:hAnsi="Tahoma" w:cs="Tahoma"/>
          <w:bCs/>
          <w:iCs/>
          <w:sz w:val="22"/>
          <w:szCs w:val="22"/>
          <w:lang w:val="sr-Cyrl-RS"/>
        </w:rPr>
        <w:t>благ</w:t>
      </w:r>
      <w:r w:rsidR="00795DE4">
        <w:rPr>
          <w:rFonts w:ascii="Tahoma" w:hAnsi="Tahoma" w:cs="Tahoma"/>
          <w:bCs/>
          <w:iCs/>
          <w:sz w:val="22"/>
          <w:szCs w:val="22"/>
          <w:lang w:val="sr-Cyrl-RS"/>
        </w:rPr>
        <w:t>о</w:t>
      </w:r>
      <w:r w:rsidR="00F923A7">
        <w:rPr>
          <w:rFonts w:ascii="Tahoma" w:hAnsi="Tahoma" w:cs="Tahoma"/>
          <w:bCs/>
          <w:iCs/>
          <w:sz w:val="22"/>
          <w:szCs w:val="22"/>
          <w:lang w:val="sr-Cyrl-RS"/>
        </w:rPr>
        <w:t xml:space="preserve"> осцил</w:t>
      </w:r>
      <w:r w:rsidR="00795DE4">
        <w:rPr>
          <w:rFonts w:ascii="Tahoma" w:hAnsi="Tahoma" w:cs="Tahoma"/>
          <w:bCs/>
          <w:iCs/>
          <w:sz w:val="22"/>
          <w:szCs w:val="22"/>
          <w:lang w:val="sr-Cyrl-RS"/>
        </w:rPr>
        <w:t>ирао</w:t>
      </w:r>
      <w:r w:rsidR="00F923A7">
        <w:rPr>
          <w:rFonts w:ascii="Tahoma" w:hAnsi="Tahoma" w:cs="Tahoma"/>
          <w:bCs/>
          <w:iCs/>
          <w:sz w:val="22"/>
          <w:szCs w:val="22"/>
          <w:lang w:val="sr-Cyrl-RS"/>
        </w:rPr>
        <w:t>,</w:t>
      </w:r>
      <w:r w:rsidR="008046A9" w:rsidRPr="00C55DB8">
        <w:rPr>
          <w:rFonts w:ascii="Tahoma" w:hAnsi="Tahoma" w:cs="Tahoma"/>
          <w:bCs/>
          <w:iCs/>
          <w:sz w:val="22"/>
          <w:szCs w:val="22"/>
          <w:lang w:val="sr-Cyrl-RS"/>
        </w:rPr>
        <w:t xml:space="preserve"> </w:t>
      </w:r>
      <w:r w:rsidR="000E1BD7">
        <w:rPr>
          <w:rFonts w:ascii="Tahoma" w:hAnsi="Tahoma" w:cs="Tahoma"/>
          <w:bCs/>
          <w:iCs/>
          <w:sz w:val="22"/>
          <w:szCs w:val="22"/>
          <w:lang w:val="sr-Cyrl-RS"/>
        </w:rPr>
        <w:t>док је</w:t>
      </w:r>
      <w:r w:rsidR="00C034CA">
        <w:rPr>
          <w:rFonts w:ascii="Tahoma" w:hAnsi="Tahoma" w:cs="Tahoma"/>
          <w:bCs/>
          <w:iCs/>
          <w:sz w:val="22"/>
          <w:szCs w:val="22"/>
          <w:lang w:val="sr-Latn-RS"/>
        </w:rPr>
        <w:t xml:space="preserve"> </w:t>
      </w:r>
      <w:r w:rsidR="0052060B">
        <w:rPr>
          <w:rFonts w:ascii="Tahoma" w:hAnsi="Tahoma" w:cs="Tahoma"/>
          <w:bCs/>
          <w:iCs/>
          <w:sz w:val="22"/>
          <w:szCs w:val="22"/>
          <w:lang w:val="sr-Cyrl-RS"/>
        </w:rPr>
        <w:t xml:space="preserve">на </w:t>
      </w:r>
      <w:r w:rsidR="00D2621F">
        <w:rPr>
          <w:rFonts w:ascii="Tahoma" w:hAnsi="Tahoma" w:cs="Tahoma"/>
          <w:bCs/>
          <w:iCs/>
          <w:sz w:val="22"/>
          <w:szCs w:val="22"/>
          <w:lang w:val="sr-Cyrl-RS"/>
        </w:rPr>
        <w:t>подручју</w:t>
      </w:r>
      <w:r w:rsidR="0052060B">
        <w:rPr>
          <w:rFonts w:ascii="Tahoma" w:hAnsi="Tahoma" w:cs="Tahoma"/>
          <w:bCs/>
          <w:iCs/>
          <w:sz w:val="22"/>
          <w:szCs w:val="22"/>
          <w:lang w:val="sr-Cyrl-RS"/>
        </w:rPr>
        <w:t xml:space="preserve"> Србија-југ</w:t>
      </w:r>
      <w:r w:rsidR="000E1BD7">
        <w:rPr>
          <w:rFonts w:ascii="Tahoma" w:hAnsi="Tahoma" w:cs="Tahoma"/>
          <w:bCs/>
          <w:iCs/>
          <w:sz w:val="22"/>
          <w:szCs w:val="22"/>
          <w:lang w:val="sr-Cyrl-RS"/>
        </w:rPr>
        <w:t xml:space="preserve"> </w:t>
      </w:r>
      <w:r w:rsidR="00795DE4">
        <w:rPr>
          <w:rFonts w:ascii="Tahoma" w:hAnsi="Tahoma" w:cs="Tahoma"/>
          <w:bCs/>
          <w:iCs/>
          <w:sz w:val="22"/>
          <w:szCs w:val="22"/>
          <w:lang w:val="sr-Cyrl-RS"/>
        </w:rPr>
        <w:t xml:space="preserve">и у Подунавској области нешто присутнији тренд раста </w:t>
      </w:r>
      <w:r w:rsidR="008046A9" w:rsidRPr="00C55DB8">
        <w:rPr>
          <w:rFonts w:ascii="Tahoma" w:hAnsi="Tahoma" w:cs="Tahoma"/>
          <w:bCs/>
          <w:iCs/>
          <w:sz w:val="22"/>
          <w:szCs w:val="22"/>
          <w:lang w:val="sr-Cyrl-RS"/>
        </w:rPr>
        <w:t>(</w:t>
      </w:r>
      <w:r w:rsidR="008C43DB">
        <w:rPr>
          <w:rFonts w:ascii="Tahoma" w:hAnsi="Tahoma" w:cs="Tahoma"/>
          <w:bCs/>
          <w:iCs/>
          <w:sz w:val="22"/>
          <w:szCs w:val="22"/>
          <w:lang w:val="sr-Cyrl-RS"/>
        </w:rPr>
        <w:t>Г</w:t>
      </w:r>
      <w:r w:rsidR="008046A9" w:rsidRPr="00C55DB8">
        <w:rPr>
          <w:rFonts w:ascii="Tahoma" w:hAnsi="Tahoma" w:cs="Tahoma"/>
          <w:bCs/>
          <w:iCs/>
          <w:sz w:val="22"/>
          <w:szCs w:val="22"/>
          <w:lang w:val="sr-Cyrl-RS"/>
        </w:rPr>
        <w:t>рафикон 3). Овај податак међутим треба узети са резервом (</w:t>
      </w:r>
      <w:r w:rsidR="00166146">
        <w:rPr>
          <w:rFonts w:ascii="Tahoma" w:hAnsi="Tahoma" w:cs="Tahoma"/>
          <w:bCs/>
          <w:iCs/>
          <w:sz w:val="22"/>
          <w:szCs w:val="22"/>
          <w:lang w:val="sr-Cyrl-RS"/>
        </w:rPr>
        <w:t>Б</w:t>
      </w:r>
      <w:r w:rsidR="008046A9" w:rsidRPr="00C55DB8">
        <w:rPr>
          <w:rFonts w:ascii="Tahoma" w:hAnsi="Tahoma" w:cs="Tahoma"/>
          <w:bCs/>
          <w:iCs/>
          <w:sz w:val="22"/>
          <w:szCs w:val="22"/>
          <w:lang w:val="sr-Cyrl-RS"/>
        </w:rPr>
        <w:t>окс 2).</w:t>
      </w:r>
    </w:p>
    <w:p w14:paraId="1E84B199" w14:textId="77777777" w:rsidR="005A1B51" w:rsidRPr="00782AE0" w:rsidRDefault="005A1B51" w:rsidP="007327A7">
      <w:pPr>
        <w:spacing w:after="160" w:line="259" w:lineRule="auto"/>
        <w:jc w:val="both"/>
        <w:rPr>
          <w:rFonts w:ascii="Tahoma" w:hAnsi="Tahoma" w:cs="Tahoma"/>
          <w:bCs/>
          <w:iCs/>
          <w:sz w:val="10"/>
          <w:szCs w:val="10"/>
          <w:lang w:val="sr-Cyrl-RS"/>
        </w:rPr>
      </w:pPr>
    </w:p>
    <w:p w14:paraId="202F9463" w14:textId="0C7FAED8" w:rsidR="008046A9" w:rsidRDefault="008046A9" w:rsidP="007327A7">
      <w:pPr>
        <w:spacing w:after="160" w:line="259" w:lineRule="auto"/>
        <w:jc w:val="both"/>
        <w:rPr>
          <w:rFonts w:ascii="Tahoma" w:hAnsi="Tahoma" w:cs="Tahoma"/>
          <w:color w:val="2F5496"/>
          <w:sz w:val="22"/>
          <w:szCs w:val="22"/>
          <w:lang w:val="sr-Cyrl-RS"/>
        </w:rPr>
      </w:pPr>
      <w:r w:rsidRPr="009A395E">
        <w:rPr>
          <w:rFonts w:ascii="Tahoma" w:hAnsi="Tahoma" w:cs="Tahoma"/>
          <w:color w:val="2F5496"/>
          <w:sz w:val="22"/>
          <w:szCs w:val="22"/>
          <w:lang w:val="sr-Cyrl-RS"/>
        </w:rPr>
        <w:t>Табела 2. Капацитет и оптерећеност Центра за социјални рад, 20</w:t>
      </w:r>
      <w:r w:rsidR="00060B63">
        <w:rPr>
          <w:rFonts w:ascii="Tahoma" w:hAnsi="Tahoma" w:cs="Tahoma"/>
          <w:color w:val="2F5496"/>
          <w:sz w:val="22"/>
          <w:szCs w:val="22"/>
          <w:lang w:val="sr-Latn-RS"/>
        </w:rPr>
        <w:t>20</w:t>
      </w:r>
      <w:r w:rsidR="009A395E">
        <w:rPr>
          <w:rFonts w:ascii="Tahoma" w:hAnsi="Tahoma" w:cs="Tahoma"/>
          <w:color w:val="2F5496"/>
          <w:sz w:val="22"/>
          <w:szCs w:val="22"/>
          <w:lang w:val="sr-Cyrl-RS"/>
        </w:rPr>
        <w:t>.</w:t>
      </w:r>
    </w:p>
    <w:tbl>
      <w:tblPr>
        <w:tblStyle w:val="GridTable5Dark-Accent51"/>
        <w:tblpPr w:leftFromText="180" w:rightFromText="180" w:vertAnchor="text" w:horzAnchor="margin" w:tblpX="-10" w:tblpY="4"/>
        <w:tblW w:w="8815" w:type="dxa"/>
        <w:tblLayout w:type="fixed"/>
        <w:tblLook w:val="04A0" w:firstRow="1" w:lastRow="0" w:firstColumn="1" w:lastColumn="0" w:noHBand="0" w:noVBand="1"/>
      </w:tblPr>
      <w:tblGrid>
        <w:gridCol w:w="4374"/>
        <w:gridCol w:w="1651"/>
        <w:gridCol w:w="1530"/>
        <w:gridCol w:w="1260"/>
      </w:tblGrid>
      <w:tr w:rsidR="00DC3601" w:rsidRPr="00361404" w14:paraId="48DE914F" w14:textId="77777777" w:rsidTr="003E4598">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374" w:type="dxa"/>
            <w:tcBorders>
              <w:right w:val="single" w:sz="4" w:space="0" w:color="FFFFFF" w:themeColor="background1"/>
            </w:tcBorders>
            <w:shd w:val="clear" w:color="auto" w:fill="2F5496" w:themeFill="accent1" w:themeFillShade="BF"/>
          </w:tcPr>
          <w:p w14:paraId="496564FA" w14:textId="77777777" w:rsidR="00DC3601" w:rsidRPr="00361404" w:rsidRDefault="00DC3601" w:rsidP="00624B5E">
            <w:pPr>
              <w:spacing w:after="160" w:line="259" w:lineRule="auto"/>
              <w:jc w:val="both"/>
              <w:rPr>
                <w:rFonts w:ascii="Tahoma" w:hAnsi="Tahoma" w:cs="Tahoma"/>
                <w:sz w:val="21"/>
                <w:szCs w:val="21"/>
                <w:lang w:val="sr-Cyrl-RS"/>
              </w:rPr>
            </w:pPr>
          </w:p>
        </w:tc>
        <w:tc>
          <w:tcPr>
            <w:tcW w:w="1651" w:type="dxa"/>
            <w:tcBorders>
              <w:left w:val="single" w:sz="4" w:space="0" w:color="FFFFFF" w:themeColor="background1"/>
              <w:right w:val="single" w:sz="4" w:space="0" w:color="FFFFFF" w:themeColor="background1"/>
            </w:tcBorders>
            <w:shd w:val="clear" w:color="auto" w:fill="2F5496" w:themeFill="accent1" w:themeFillShade="BF"/>
            <w:vAlign w:val="center"/>
          </w:tcPr>
          <w:p w14:paraId="51DF9513" w14:textId="03EACCB1" w:rsidR="00DC3601" w:rsidRPr="00361404" w:rsidRDefault="003E4598" w:rsidP="00DC3601">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sz w:val="21"/>
                <w:szCs w:val="21"/>
                <w:lang w:val="sr-Cyrl-RS"/>
              </w:rPr>
            </w:pPr>
            <w:r>
              <w:rPr>
                <w:rFonts w:ascii="Tahoma" w:hAnsi="Tahoma" w:cs="Tahoma"/>
                <w:sz w:val="21"/>
                <w:szCs w:val="21"/>
                <w:lang w:val="sr-Cyrl-RS"/>
              </w:rPr>
              <w:t>Смедеревска Паланка</w:t>
            </w:r>
          </w:p>
        </w:tc>
        <w:tc>
          <w:tcPr>
            <w:tcW w:w="1530" w:type="dxa"/>
            <w:tcBorders>
              <w:left w:val="single" w:sz="4" w:space="0" w:color="FFFFFF" w:themeColor="background1"/>
              <w:right w:val="single" w:sz="4" w:space="0" w:color="FFFFFF" w:themeColor="background1"/>
            </w:tcBorders>
            <w:shd w:val="clear" w:color="auto" w:fill="2F5496" w:themeFill="accent1" w:themeFillShade="BF"/>
            <w:vAlign w:val="center"/>
          </w:tcPr>
          <w:p w14:paraId="1329E091" w14:textId="5F593B72" w:rsidR="00DC3601" w:rsidRDefault="003E4598" w:rsidP="00DC3601">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sz w:val="21"/>
                <w:szCs w:val="21"/>
                <w:lang w:val="sr-Cyrl-RS"/>
              </w:rPr>
            </w:pPr>
            <w:r>
              <w:rPr>
                <w:rFonts w:ascii="Tahoma" w:hAnsi="Tahoma" w:cs="Tahoma"/>
                <w:sz w:val="21"/>
                <w:szCs w:val="21"/>
                <w:lang w:val="sr-Cyrl-RS"/>
              </w:rPr>
              <w:t>Подунавска</w:t>
            </w:r>
            <w:r w:rsidR="00DC3601">
              <w:rPr>
                <w:rFonts w:ascii="Tahoma" w:hAnsi="Tahoma" w:cs="Tahoma"/>
                <w:sz w:val="21"/>
                <w:szCs w:val="21"/>
                <w:lang w:val="sr-Cyrl-RS"/>
              </w:rPr>
              <w:t xml:space="preserve"> област</w:t>
            </w:r>
          </w:p>
        </w:tc>
        <w:tc>
          <w:tcPr>
            <w:tcW w:w="1260" w:type="dxa"/>
            <w:tcBorders>
              <w:left w:val="single" w:sz="4" w:space="0" w:color="FFFFFF" w:themeColor="background1"/>
            </w:tcBorders>
            <w:shd w:val="clear" w:color="auto" w:fill="2F5496" w:themeFill="accent1" w:themeFillShade="BF"/>
            <w:vAlign w:val="center"/>
          </w:tcPr>
          <w:p w14:paraId="0966D3F8" w14:textId="33605F04" w:rsidR="00DC3601" w:rsidRPr="00361404" w:rsidRDefault="00DC3601" w:rsidP="00DC3601">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sz w:val="21"/>
                <w:szCs w:val="21"/>
                <w:lang w:val="sr-Cyrl-RS"/>
              </w:rPr>
            </w:pPr>
            <w:r>
              <w:rPr>
                <w:rFonts w:ascii="Tahoma" w:hAnsi="Tahoma" w:cs="Tahoma"/>
                <w:sz w:val="21"/>
                <w:szCs w:val="21"/>
                <w:lang w:val="sr-Cyrl-RS"/>
              </w:rPr>
              <w:t>Србија-југ</w:t>
            </w:r>
          </w:p>
        </w:tc>
      </w:tr>
      <w:tr w:rsidR="00DC3601" w:rsidRPr="00361404" w14:paraId="17644CA0" w14:textId="77777777" w:rsidTr="003E4598">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4374" w:type="dxa"/>
            <w:shd w:val="clear" w:color="auto" w:fill="D9E2F3" w:themeFill="accent1" w:themeFillTint="33"/>
          </w:tcPr>
          <w:p w14:paraId="1D7950BA" w14:textId="77777777" w:rsidR="00DC3601" w:rsidRPr="00B02F97" w:rsidRDefault="00DC3601" w:rsidP="00624B5E">
            <w:pPr>
              <w:spacing w:after="160" w:line="259" w:lineRule="auto"/>
              <w:jc w:val="both"/>
              <w:rPr>
                <w:rFonts w:ascii="Tahoma" w:hAnsi="Tahoma" w:cs="Tahoma"/>
                <w:color w:val="1F3864" w:themeColor="accent1" w:themeShade="80"/>
                <w:sz w:val="21"/>
                <w:szCs w:val="21"/>
                <w:lang w:val="sr-Cyrl-RS"/>
              </w:rPr>
            </w:pPr>
            <w:r w:rsidRPr="00A53F72">
              <w:rPr>
                <w:rFonts w:ascii="Tahoma" w:hAnsi="Tahoma" w:cs="Tahoma"/>
                <w:color w:val="1F3864" w:themeColor="accent1" w:themeShade="80"/>
                <w:sz w:val="21"/>
                <w:szCs w:val="21"/>
                <w:lang w:val="sr-Cyrl-RS"/>
              </w:rPr>
              <w:t>Број становника на 1 стручног сарадника ЦСР</w:t>
            </w:r>
          </w:p>
        </w:tc>
        <w:tc>
          <w:tcPr>
            <w:tcW w:w="1651" w:type="dxa"/>
            <w:shd w:val="clear" w:color="auto" w:fill="D9E2F3" w:themeFill="accent1" w:themeFillTint="33"/>
            <w:vAlign w:val="center"/>
          </w:tcPr>
          <w:p w14:paraId="521ABEEB" w14:textId="624872E4" w:rsidR="00DC3601" w:rsidRPr="00DC3601" w:rsidRDefault="00B21DF4" w:rsidP="0079403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rPr>
            </w:pPr>
            <w:r w:rsidRPr="00B21DF4">
              <w:rPr>
                <w:rFonts w:ascii="Tahoma" w:hAnsi="Tahoma" w:cs="Tahoma"/>
                <w:sz w:val="21"/>
                <w:szCs w:val="21"/>
              </w:rPr>
              <w:t>5</w:t>
            </w:r>
            <w:r>
              <w:rPr>
                <w:rFonts w:ascii="Tahoma" w:hAnsi="Tahoma" w:cs="Tahoma"/>
                <w:sz w:val="21"/>
                <w:szCs w:val="21"/>
              </w:rPr>
              <w:t>.</w:t>
            </w:r>
            <w:r w:rsidRPr="00B21DF4">
              <w:rPr>
                <w:rFonts w:ascii="Tahoma" w:hAnsi="Tahoma" w:cs="Tahoma"/>
                <w:sz w:val="21"/>
                <w:szCs w:val="21"/>
              </w:rPr>
              <w:t>543</w:t>
            </w:r>
          </w:p>
        </w:tc>
        <w:tc>
          <w:tcPr>
            <w:tcW w:w="1530" w:type="dxa"/>
            <w:shd w:val="clear" w:color="auto" w:fill="D9E2F3" w:themeFill="accent1" w:themeFillTint="33"/>
            <w:vAlign w:val="center"/>
          </w:tcPr>
          <w:p w14:paraId="29CD5878" w14:textId="5823AA64" w:rsidR="00DC3601" w:rsidRDefault="00B21DF4" w:rsidP="00167DCA">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rPr>
            </w:pPr>
            <w:r w:rsidRPr="00B21DF4">
              <w:rPr>
                <w:rFonts w:ascii="Tahoma" w:hAnsi="Tahoma" w:cs="Tahoma"/>
                <w:sz w:val="21"/>
                <w:szCs w:val="21"/>
              </w:rPr>
              <w:t>5</w:t>
            </w:r>
            <w:r>
              <w:rPr>
                <w:rFonts w:ascii="Tahoma" w:hAnsi="Tahoma" w:cs="Tahoma"/>
                <w:sz w:val="21"/>
                <w:szCs w:val="21"/>
              </w:rPr>
              <w:t>.</w:t>
            </w:r>
            <w:r w:rsidRPr="00B21DF4">
              <w:rPr>
                <w:rFonts w:ascii="Tahoma" w:hAnsi="Tahoma" w:cs="Tahoma"/>
                <w:sz w:val="21"/>
                <w:szCs w:val="21"/>
              </w:rPr>
              <w:t>542</w:t>
            </w:r>
          </w:p>
        </w:tc>
        <w:tc>
          <w:tcPr>
            <w:tcW w:w="1260" w:type="dxa"/>
            <w:shd w:val="clear" w:color="auto" w:fill="D9E2F3" w:themeFill="accent1" w:themeFillTint="33"/>
            <w:vAlign w:val="center"/>
          </w:tcPr>
          <w:p w14:paraId="671B24EC" w14:textId="4898D26C" w:rsidR="00DC3601" w:rsidRPr="003C0C4A" w:rsidRDefault="00DC3601" w:rsidP="0079403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lang w:val="sr-Cyrl-RS"/>
              </w:rPr>
            </w:pPr>
            <w:r>
              <w:rPr>
                <w:rFonts w:ascii="Tahoma" w:hAnsi="Tahoma" w:cs="Tahoma"/>
                <w:sz w:val="21"/>
                <w:szCs w:val="21"/>
              </w:rPr>
              <w:t>4</w:t>
            </w:r>
            <w:r w:rsidRPr="003C0C4A">
              <w:rPr>
                <w:rFonts w:ascii="Tahoma" w:hAnsi="Tahoma" w:cs="Tahoma"/>
                <w:sz w:val="21"/>
                <w:szCs w:val="21"/>
              </w:rPr>
              <w:t>.</w:t>
            </w:r>
            <w:r>
              <w:rPr>
                <w:rFonts w:ascii="Tahoma" w:hAnsi="Tahoma" w:cs="Tahoma"/>
                <w:sz w:val="21"/>
                <w:szCs w:val="21"/>
              </w:rPr>
              <w:t>077</w:t>
            </w:r>
          </w:p>
        </w:tc>
      </w:tr>
      <w:tr w:rsidR="00DC3601" w:rsidRPr="00361404" w14:paraId="744CCDBE" w14:textId="77777777" w:rsidTr="003E4598">
        <w:trPr>
          <w:trHeight w:val="732"/>
        </w:trPr>
        <w:tc>
          <w:tcPr>
            <w:cnfStyle w:val="001000000000" w:firstRow="0" w:lastRow="0" w:firstColumn="1" w:lastColumn="0" w:oddVBand="0" w:evenVBand="0" w:oddHBand="0" w:evenHBand="0" w:firstRowFirstColumn="0" w:firstRowLastColumn="0" w:lastRowFirstColumn="0" w:lastRowLastColumn="0"/>
            <w:tcW w:w="4374" w:type="dxa"/>
            <w:shd w:val="clear" w:color="auto" w:fill="B4C6E7" w:themeFill="accent1" w:themeFillTint="66"/>
          </w:tcPr>
          <w:p w14:paraId="7DDC5643" w14:textId="77777777" w:rsidR="00DC3601" w:rsidRPr="00B02F97" w:rsidRDefault="00DC3601" w:rsidP="00624B5E">
            <w:pPr>
              <w:spacing w:after="160" w:line="259" w:lineRule="auto"/>
              <w:jc w:val="both"/>
              <w:rPr>
                <w:rFonts w:ascii="Tahoma" w:hAnsi="Tahoma" w:cs="Tahoma"/>
                <w:color w:val="1F3864" w:themeColor="accent1" w:themeShade="80"/>
                <w:sz w:val="21"/>
                <w:szCs w:val="21"/>
                <w:lang w:val="sr-Cyrl-RS"/>
              </w:rPr>
            </w:pPr>
            <w:r w:rsidRPr="00A53F72">
              <w:rPr>
                <w:rFonts w:ascii="Tahoma" w:hAnsi="Tahoma" w:cs="Tahoma"/>
                <w:color w:val="1F3864" w:themeColor="accent1" w:themeShade="80"/>
                <w:sz w:val="21"/>
                <w:szCs w:val="21"/>
                <w:lang w:val="sr-Cyrl-RS"/>
              </w:rPr>
              <w:t>Удео корисника социјалне заштите у укупној популацији (%)</w:t>
            </w:r>
          </w:p>
        </w:tc>
        <w:tc>
          <w:tcPr>
            <w:tcW w:w="1651" w:type="dxa"/>
            <w:shd w:val="clear" w:color="auto" w:fill="B4C6E7" w:themeFill="accent1" w:themeFillTint="66"/>
            <w:vAlign w:val="center"/>
          </w:tcPr>
          <w:p w14:paraId="08E634C4" w14:textId="059C5623" w:rsidR="00DC3601" w:rsidRPr="00DC3601" w:rsidRDefault="00B21DF4" w:rsidP="0079403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rPr>
            </w:pPr>
            <w:r w:rsidRPr="00B21DF4">
              <w:rPr>
                <w:rFonts w:ascii="Tahoma" w:hAnsi="Tahoma" w:cs="Tahoma"/>
                <w:sz w:val="21"/>
                <w:szCs w:val="21"/>
              </w:rPr>
              <w:t>9</w:t>
            </w:r>
            <w:r>
              <w:rPr>
                <w:rFonts w:ascii="Tahoma" w:hAnsi="Tahoma" w:cs="Tahoma"/>
                <w:sz w:val="21"/>
                <w:szCs w:val="21"/>
              </w:rPr>
              <w:t>,</w:t>
            </w:r>
            <w:r w:rsidRPr="00B21DF4">
              <w:rPr>
                <w:rFonts w:ascii="Tahoma" w:hAnsi="Tahoma" w:cs="Tahoma"/>
                <w:sz w:val="21"/>
                <w:szCs w:val="21"/>
              </w:rPr>
              <w:t>3</w:t>
            </w:r>
          </w:p>
        </w:tc>
        <w:tc>
          <w:tcPr>
            <w:tcW w:w="1530" w:type="dxa"/>
            <w:shd w:val="clear" w:color="auto" w:fill="B4C6E7" w:themeFill="accent1" w:themeFillTint="66"/>
            <w:vAlign w:val="center"/>
          </w:tcPr>
          <w:p w14:paraId="1C5A95EC" w14:textId="734C889B" w:rsidR="00DC3601" w:rsidRDefault="00B21DF4" w:rsidP="00167DCA">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rPr>
            </w:pPr>
            <w:r w:rsidRPr="00B21DF4">
              <w:rPr>
                <w:rFonts w:ascii="Tahoma" w:hAnsi="Tahoma" w:cs="Tahoma"/>
                <w:sz w:val="21"/>
                <w:szCs w:val="21"/>
              </w:rPr>
              <w:t>10</w:t>
            </w:r>
            <w:r>
              <w:rPr>
                <w:rFonts w:ascii="Tahoma" w:hAnsi="Tahoma" w:cs="Tahoma"/>
                <w:sz w:val="21"/>
                <w:szCs w:val="21"/>
              </w:rPr>
              <w:t>,</w:t>
            </w:r>
            <w:r w:rsidRPr="00B21DF4">
              <w:rPr>
                <w:rFonts w:ascii="Tahoma" w:hAnsi="Tahoma" w:cs="Tahoma"/>
                <w:sz w:val="21"/>
                <w:szCs w:val="21"/>
              </w:rPr>
              <w:t>8</w:t>
            </w:r>
          </w:p>
        </w:tc>
        <w:tc>
          <w:tcPr>
            <w:tcW w:w="1260" w:type="dxa"/>
            <w:shd w:val="clear" w:color="auto" w:fill="B4C6E7" w:themeFill="accent1" w:themeFillTint="66"/>
            <w:vAlign w:val="center"/>
          </w:tcPr>
          <w:p w14:paraId="0282F064" w14:textId="45C7C843" w:rsidR="00DC3601" w:rsidRPr="003C0C4A" w:rsidRDefault="00DC3601" w:rsidP="0079403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lang w:val="sr-Cyrl-RS"/>
              </w:rPr>
            </w:pPr>
            <w:r>
              <w:rPr>
                <w:rFonts w:ascii="Tahoma" w:hAnsi="Tahoma" w:cs="Tahoma"/>
                <w:sz w:val="21"/>
                <w:szCs w:val="21"/>
              </w:rPr>
              <w:t>11</w:t>
            </w:r>
            <w:r w:rsidRPr="003C0C4A">
              <w:rPr>
                <w:rFonts w:ascii="Tahoma" w:hAnsi="Tahoma" w:cs="Tahoma"/>
                <w:sz w:val="21"/>
                <w:szCs w:val="21"/>
              </w:rPr>
              <w:t>,6</w:t>
            </w:r>
          </w:p>
        </w:tc>
      </w:tr>
    </w:tbl>
    <w:p w14:paraId="11598058" w14:textId="77777777" w:rsidR="00DA5559" w:rsidRDefault="00DA5559" w:rsidP="007327A7">
      <w:pPr>
        <w:spacing w:after="160" w:line="259" w:lineRule="auto"/>
        <w:jc w:val="both"/>
        <w:rPr>
          <w:rFonts w:ascii="Tahoma" w:hAnsi="Tahoma" w:cs="Tahoma"/>
          <w:sz w:val="18"/>
          <w:szCs w:val="18"/>
          <w:lang w:val="sr-Cyrl-RS"/>
        </w:rPr>
      </w:pPr>
    </w:p>
    <w:p w14:paraId="7FF3E773" w14:textId="77777777" w:rsidR="00DA5559" w:rsidRDefault="00DA5559" w:rsidP="007327A7">
      <w:pPr>
        <w:spacing w:after="160" w:line="259" w:lineRule="auto"/>
        <w:jc w:val="both"/>
        <w:rPr>
          <w:rFonts w:ascii="Tahoma" w:hAnsi="Tahoma" w:cs="Tahoma"/>
          <w:sz w:val="18"/>
          <w:szCs w:val="18"/>
          <w:lang w:val="sr-Cyrl-RS"/>
        </w:rPr>
      </w:pPr>
    </w:p>
    <w:p w14:paraId="5412104F" w14:textId="77777777" w:rsidR="00DA5559" w:rsidRDefault="00DA5559" w:rsidP="007327A7">
      <w:pPr>
        <w:spacing w:after="160" w:line="259" w:lineRule="auto"/>
        <w:jc w:val="both"/>
        <w:rPr>
          <w:rFonts w:ascii="Tahoma" w:hAnsi="Tahoma" w:cs="Tahoma"/>
          <w:sz w:val="18"/>
          <w:szCs w:val="18"/>
          <w:lang w:val="sr-Cyrl-RS"/>
        </w:rPr>
      </w:pPr>
    </w:p>
    <w:p w14:paraId="687C7A2B" w14:textId="77777777" w:rsidR="00DA5559" w:rsidRDefault="00DA5559" w:rsidP="007327A7">
      <w:pPr>
        <w:spacing w:after="160" w:line="259" w:lineRule="auto"/>
        <w:jc w:val="both"/>
        <w:rPr>
          <w:rFonts w:ascii="Tahoma" w:hAnsi="Tahoma" w:cs="Tahoma"/>
          <w:sz w:val="18"/>
          <w:szCs w:val="18"/>
          <w:lang w:val="sr-Cyrl-RS"/>
        </w:rPr>
      </w:pPr>
    </w:p>
    <w:p w14:paraId="4840B94D" w14:textId="77777777" w:rsidR="00DA5559" w:rsidRDefault="00DA5559" w:rsidP="007327A7">
      <w:pPr>
        <w:spacing w:after="160" w:line="259" w:lineRule="auto"/>
        <w:jc w:val="both"/>
        <w:rPr>
          <w:rFonts w:ascii="Tahoma" w:hAnsi="Tahoma" w:cs="Tahoma"/>
          <w:sz w:val="18"/>
          <w:szCs w:val="18"/>
          <w:lang w:val="sr-Cyrl-RS"/>
        </w:rPr>
      </w:pPr>
    </w:p>
    <w:p w14:paraId="69FF73B8" w14:textId="30D2FDCA" w:rsidR="00782AE0" w:rsidRDefault="003C0C4A" w:rsidP="007327A7">
      <w:pPr>
        <w:spacing w:after="160" w:line="259" w:lineRule="auto"/>
        <w:jc w:val="both"/>
        <w:rPr>
          <w:rFonts w:ascii="Tahoma" w:hAnsi="Tahoma" w:cs="Tahoma"/>
          <w:color w:val="2F5496"/>
          <w:sz w:val="22"/>
          <w:szCs w:val="22"/>
          <w:lang w:val="sr-Cyrl-RS"/>
        </w:rPr>
      </w:pPr>
      <w:r>
        <w:rPr>
          <w:rFonts w:ascii="Tahoma" w:hAnsi="Tahoma" w:cs="Tahoma"/>
          <w:sz w:val="18"/>
          <w:szCs w:val="18"/>
          <w:lang w:val="sr-Cyrl-RS"/>
        </w:rPr>
        <w:t xml:space="preserve">Извор: </w:t>
      </w:r>
      <w:r w:rsidRPr="00AF3C50">
        <w:rPr>
          <w:rFonts w:ascii="Tahoma" w:hAnsi="Tahoma" w:cs="Tahoma"/>
          <w:sz w:val="18"/>
          <w:szCs w:val="18"/>
          <w:lang w:val="sr-Cyrl-RS"/>
        </w:rPr>
        <w:t>ДевИнфо база</w:t>
      </w:r>
      <w:r>
        <w:rPr>
          <w:rFonts w:ascii="Tahoma" w:hAnsi="Tahoma" w:cs="Tahoma"/>
          <w:sz w:val="18"/>
          <w:szCs w:val="18"/>
          <w:lang w:val="sr-Cyrl-RS"/>
        </w:rPr>
        <w:t xml:space="preserve">, </w:t>
      </w:r>
      <w:r w:rsidRPr="00AF3C50">
        <w:rPr>
          <w:rFonts w:ascii="Tahoma" w:hAnsi="Tahoma" w:cs="Tahoma"/>
          <w:sz w:val="18"/>
          <w:szCs w:val="18"/>
          <w:lang w:val="sr-Cyrl-RS"/>
        </w:rPr>
        <w:t>Републич</w:t>
      </w:r>
      <w:r w:rsidR="00996F91">
        <w:rPr>
          <w:rFonts w:ascii="Tahoma" w:hAnsi="Tahoma" w:cs="Tahoma"/>
          <w:sz w:val="18"/>
          <w:szCs w:val="18"/>
          <w:lang w:val="sr-Cyrl-RS"/>
        </w:rPr>
        <w:t>ки</w:t>
      </w:r>
      <w:r w:rsidRPr="00AF3C50">
        <w:rPr>
          <w:rFonts w:ascii="Tahoma" w:hAnsi="Tahoma" w:cs="Tahoma"/>
          <w:sz w:val="18"/>
          <w:szCs w:val="18"/>
          <w:lang w:val="sr-Cyrl-RS"/>
        </w:rPr>
        <w:t xml:space="preserve"> завод</w:t>
      </w:r>
      <w:r>
        <w:rPr>
          <w:rFonts w:ascii="Tahoma" w:hAnsi="Tahoma" w:cs="Tahoma"/>
          <w:sz w:val="18"/>
          <w:szCs w:val="18"/>
          <w:lang w:val="sr-Cyrl-RS"/>
        </w:rPr>
        <w:t>а</w:t>
      </w:r>
      <w:r w:rsidRPr="00AF3C50">
        <w:rPr>
          <w:rFonts w:ascii="Tahoma" w:hAnsi="Tahoma" w:cs="Tahoma"/>
          <w:sz w:val="18"/>
          <w:szCs w:val="18"/>
          <w:lang w:val="sr-Cyrl-RS"/>
        </w:rPr>
        <w:t xml:space="preserve"> за статистику</w:t>
      </w:r>
      <w:r>
        <w:rPr>
          <w:rFonts w:ascii="Tahoma" w:eastAsia="Open Sans" w:hAnsi="Tahoma" w:cs="Tahoma"/>
          <w:sz w:val="18"/>
          <w:szCs w:val="18"/>
          <w:lang w:val="sr-Cyrl-RS"/>
        </w:rPr>
        <w:t>.</w:t>
      </w:r>
    </w:p>
    <w:p w14:paraId="052CACD5" w14:textId="77777777" w:rsidR="009668FE" w:rsidRPr="003C0C4A" w:rsidRDefault="009668FE" w:rsidP="007327A7">
      <w:pPr>
        <w:spacing w:after="160" w:line="259" w:lineRule="auto"/>
        <w:jc w:val="both"/>
        <w:rPr>
          <w:rFonts w:ascii="Tahoma" w:hAnsi="Tahoma" w:cs="Tahoma"/>
          <w:bCs/>
          <w:iCs/>
          <w:sz w:val="10"/>
          <w:szCs w:val="10"/>
          <w:lang w:val="sr-Cyrl-RS"/>
        </w:rPr>
      </w:pPr>
    </w:p>
    <w:p w14:paraId="020147A4" w14:textId="283CC987" w:rsidR="009668FE" w:rsidRDefault="00B23EA6" w:rsidP="007327A7">
      <w:pPr>
        <w:spacing w:after="160" w:line="259" w:lineRule="auto"/>
        <w:jc w:val="both"/>
        <w:rPr>
          <w:rFonts w:ascii="Tahoma" w:hAnsi="Tahoma" w:cs="Tahoma"/>
          <w:bCs/>
          <w:color w:val="2F5496"/>
          <w:sz w:val="22"/>
          <w:szCs w:val="22"/>
          <w:lang w:val="sr-Cyrl-RS"/>
        </w:rPr>
      </w:pPr>
      <w:r w:rsidRPr="003C0C4A">
        <w:rPr>
          <w:rFonts w:ascii="Tahoma" w:hAnsi="Tahoma" w:cs="Tahoma"/>
          <w:bCs/>
          <w:color w:val="2F5496"/>
          <w:sz w:val="22"/>
          <w:szCs w:val="22"/>
          <w:lang w:val="sr-Cyrl-RS"/>
        </w:rPr>
        <w:t>Графикон 3: Удео корисника социјалне заштите у укупној популацији</w:t>
      </w:r>
      <w:r w:rsidR="00847DBE">
        <w:rPr>
          <w:rFonts w:ascii="Tahoma" w:hAnsi="Tahoma" w:cs="Tahoma"/>
          <w:bCs/>
          <w:color w:val="2F5496"/>
          <w:sz w:val="22"/>
          <w:szCs w:val="22"/>
          <w:lang w:val="sr-Cyrl-RS"/>
        </w:rPr>
        <w:t xml:space="preserve"> (у %)</w:t>
      </w:r>
      <w:r w:rsidRPr="003C0C4A">
        <w:rPr>
          <w:rFonts w:ascii="Tahoma" w:hAnsi="Tahoma" w:cs="Tahoma"/>
          <w:bCs/>
          <w:color w:val="2F5496"/>
          <w:sz w:val="22"/>
          <w:szCs w:val="22"/>
          <w:lang w:val="sr-Cyrl-RS"/>
        </w:rPr>
        <w:t>, 2011-20</w:t>
      </w:r>
      <w:r w:rsidR="0090501B">
        <w:rPr>
          <w:rFonts w:ascii="Tahoma" w:hAnsi="Tahoma" w:cs="Tahoma"/>
          <w:bCs/>
          <w:color w:val="2F5496"/>
          <w:sz w:val="22"/>
          <w:szCs w:val="22"/>
          <w:lang w:val="sr-Latn-RS"/>
        </w:rPr>
        <w:t>20</w:t>
      </w:r>
      <w:r w:rsidRPr="003C0C4A">
        <w:rPr>
          <w:rFonts w:ascii="Tahoma" w:hAnsi="Tahoma" w:cs="Tahoma"/>
          <w:bCs/>
          <w:color w:val="2F5496"/>
          <w:sz w:val="22"/>
          <w:szCs w:val="22"/>
          <w:lang w:val="sr-Cyrl-RS"/>
        </w:rPr>
        <w:t xml:space="preserve">. </w:t>
      </w:r>
    </w:p>
    <w:p w14:paraId="7820E084" w14:textId="2F5C7BD8" w:rsidR="005A1B51" w:rsidRPr="00650E50" w:rsidRDefault="006B4EB1" w:rsidP="007327A7">
      <w:pPr>
        <w:spacing w:after="160" w:line="259" w:lineRule="auto"/>
        <w:jc w:val="both"/>
        <w:rPr>
          <w:rFonts w:ascii="Tahoma" w:hAnsi="Tahoma" w:cs="Tahoma"/>
          <w:bCs/>
          <w:color w:val="2F5496"/>
          <w:sz w:val="22"/>
          <w:szCs w:val="22"/>
          <w:lang w:val="sr-Latn-RS"/>
        </w:rPr>
      </w:pPr>
      <w:r>
        <w:rPr>
          <w:noProof/>
        </w:rPr>
        <w:drawing>
          <wp:inline distT="0" distB="0" distL="0" distR="0" wp14:anchorId="0A07D541" wp14:editId="698CD289">
            <wp:extent cx="4572000" cy="2743200"/>
            <wp:effectExtent l="0" t="0" r="0" b="0"/>
            <wp:docPr id="5" name="Chart 5">
              <a:extLst xmlns:a="http://schemas.openxmlformats.org/drawingml/2006/main">
                <a:ext uri="{FF2B5EF4-FFF2-40B4-BE49-F238E27FC236}">
                  <a16:creationId xmlns:a16="http://schemas.microsoft.com/office/drawing/2014/main" id="{C63DB6A4-C9B9-DBA8-AE4A-02A5078DEB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D02C1BB" w14:textId="0EF7DB0E" w:rsidR="003C0C4A" w:rsidRDefault="003C0C4A" w:rsidP="007327A7">
      <w:pPr>
        <w:spacing w:after="160" w:line="259" w:lineRule="auto"/>
        <w:jc w:val="both"/>
        <w:rPr>
          <w:rFonts w:ascii="Tahoma" w:hAnsi="Tahoma" w:cs="Tahoma"/>
          <w:sz w:val="18"/>
          <w:szCs w:val="18"/>
        </w:rPr>
      </w:pPr>
      <w:r w:rsidRPr="00AF3C50">
        <w:rPr>
          <w:rFonts w:ascii="Tahoma" w:hAnsi="Tahoma" w:cs="Tahoma"/>
          <w:sz w:val="18"/>
          <w:szCs w:val="18"/>
          <w:lang w:val="sr-Cyrl-RS"/>
        </w:rPr>
        <w:t>Извор: ДевИнфо база</w:t>
      </w:r>
      <w:r>
        <w:rPr>
          <w:rFonts w:ascii="Tahoma" w:hAnsi="Tahoma" w:cs="Tahoma"/>
          <w:sz w:val="18"/>
          <w:szCs w:val="18"/>
        </w:rPr>
        <w:t>,</w:t>
      </w:r>
      <w:r w:rsidRPr="00AF3C50">
        <w:rPr>
          <w:rFonts w:ascii="Tahoma" w:hAnsi="Tahoma" w:cs="Tahoma"/>
          <w:sz w:val="18"/>
          <w:szCs w:val="18"/>
          <w:lang w:val="sr-Cyrl-RS"/>
        </w:rPr>
        <w:t xml:space="preserve"> Републички завод за статистику</w:t>
      </w:r>
      <w:r>
        <w:rPr>
          <w:rFonts w:ascii="Tahoma" w:hAnsi="Tahoma" w:cs="Tahoma"/>
          <w:sz w:val="18"/>
          <w:szCs w:val="18"/>
        </w:rPr>
        <w:t>.</w:t>
      </w:r>
    </w:p>
    <w:p w14:paraId="559B4FDF" w14:textId="52F63C92" w:rsidR="00973D19" w:rsidRDefault="00973D19" w:rsidP="007327A7">
      <w:pPr>
        <w:spacing w:after="160" w:line="259" w:lineRule="auto"/>
        <w:jc w:val="both"/>
        <w:rPr>
          <w:rFonts w:ascii="Tahoma" w:hAnsi="Tahoma" w:cs="Tahoma"/>
          <w:sz w:val="18"/>
          <w:szCs w:val="18"/>
        </w:rPr>
      </w:pPr>
    </w:p>
    <w:p w14:paraId="56ED6A31" w14:textId="0A4E87E6" w:rsidR="00462943" w:rsidRPr="00847DBE" w:rsidRDefault="00462943" w:rsidP="007327A7">
      <w:pPr>
        <w:shd w:val="clear" w:color="auto" w:fill="D9E2F3" w:themeFill="accent1" w:themeFillTint="33"/>
        <w:spacing w:after="160" w:line="259" w:lineRule="auto"/>
        <w:jc w:val="both"/>
        <w:rPr>
          <w:rFonts w:ascii="Tahoma" w:hAnsi="Tahoma" w:cs="Tahoma"/>
          <w:b/>
          <w:color w:val="1F3864" w:themeColor="accent1" w:themeShade="80"/>
          <w:sz w:val="22"/>
          <w:szCs w:val="22"/>
          <w:u w:val="single"/>
          <w:lang w:val="sr-Cyrl-RS"/>
        </w:rPr>
      </w:pPr>
      <w:bookmarkStart w:id="2" w:name="OLE_LINK5"/>
      <w:r w:rsidRPr="00847DBE">
        <w:rPr>
          <w:rFonts w:ascii="Tahoma" w:hAnsi="Tahoma" w:cs="Tahoma"/>
          <w:b/>
          <w:color w:val="1F3864" w:themeColor="accent1" w:themeShade="80"/>
          <w:sz w:val="22"/>
          <w:szCs w:val="22"/>
          <w:lang w:val="sr-Cyrl-RS"/>
        </w:rPr>
        <w:lastRenderedPageBreak/>
        <w:t>Б</w:t>
      </w:r>
      <w:r w:rsidR="009A395E" w:rsidRPr="00847DBE">
        <w:rPr>
          <w:rFonts w:ascii="Tahoma" w:hAnsi="Tahoma" w:cs="Tahoma"/>
          <w:b/>
          <w:color w:val="1F3864" w:themeColor="accent1" w:themeShade="80"/>
          <w:sz w:val="22"/>
          <w:szCs w:val="22"/>
          <w:lang w:val="sr-Cyrl-RS"/>
        </w:rPr>
        <w:t xml:space="preserve">окс </w:t>
      </w:r>
      <w:r w:rsidRPr="00847DBE">
        <w:rPr>
          <w:rFonts w:ascii="Tahoma" w:hAnsi="Tahoma" w:cs="Tahoma"/>
          <w:b/>
          <w:color w:val="1F3864" w:themeColor="accent1" w:themeShade="80"/>
          <w:sz w:val="22"/>
          <w:szCs w:val="22"/>
          <w:lang w:val="sr-Cyrl-RS"/>
        </w:rPr>
        <w:t>2. У</w:t>
      </w:r>
      <w:r w:rsidR="009A395E" w:rsidRPr="00847DBE">
        <w:rPr>
          <w:rFonts w:ascii="Tahoma" w:hAnsi="Tahoma" w:cs="Tahoma"/>
          <w:b/>
          <w:color w:val="1F3864" w:themeColor="accent1" w:themeShade="80"/>
          <w:sz w:val="22"/>
          <w:szCs w:val="22"/>
          <w:lang w:val="sr-Cyrl-RS"/>
        </w:rPr>
        <w:t xml:space="preserve">део корисника социјалне заштите у укупној популацији </w:t>
      </w:r>
      <w:r w:rsidRPr="00847DBE">
        <w:rPr>
          <w:rFonts w:ascii="Tahoma" w:hAnsi="Tahoma" w:cs="Tahoma"/>
          <w:b/>
          <w:color w:val="1F3864" w:themeColor="accent1" w:themeShade="80"/>
          <w:sz w:val="22"/>
          <w:szCs w:val="22"/>
          <w:lang w:val="sr-Cyrl-RS"/>
        </w:rPr>
        <w:t xml:space="preserve">– </w:t>
      </w:r>
      <w:r w:rsidR="009A395E" w:rsidRPr="00847DBE">
        <w:rPr>
          <w:rFonts w:ascii="Tahoma" w:hAnsi="Tahoma" w:cs="Tahoma"/>
          <w:b/>
          <w:color w:val="1F3864" w:themeColor="accent1" w:themeShade="80"/>
          <w:sz w:val="22"/>
          <w:szCs w:val="22"/>
          <w:lang w:val="sr-Cyrl-RS"/>
        </w:rPr>
        <w:t>индикатор циљева одрживог развоја</w:t>
      </w:r>
    </w:p>
    <w:p w14:paraId="0E4BCDAD" w14:textId="7BD2E020" w:rsidR="00462943" w:rsidRPr="009A395E" w:rsidRDefault="00462943" w:rsidP="007327A7">
      <w:pPr>
        <w:shd w:val="clear" w:color="auto" w:fill="D9E2F3" w:themeFill="accent1" w:themeFillTint="33"/>
        <w:spacing w:after="160" w:line="259" w:lineRule="auto"/>
        <w:jc w:val="both"/>
        <w:rPr>
          <w:rFonts w:ascii="Tahoma" w:hAnsi="Tahoma" w:cs="Tahoma"/>
          <w:sz w:val="22"/>
          <w:szCs w:val="22"/>
          <w:lang w:val="sr-Cyrl-RS"/>
        </w:rPr>
      </w:pPr>
      <w:r w:rsidRPr="009A395E">
        <w:rPr>
          <w:rFonts w:ascii="Tahoma" w:hAnsi="Tahoma" w:cs="Tahoma"/>
          <w:sz w:val="22"/>
          <w:szCs w:val="22"/>
          <w:lang w:val="sr-Cyrl-RS"/>
        </w:rPr>
        <w:t>Удео корисника социјалне заштите у укупној популацији је дефинисан као индикатор за праћење циља 1.3</w:t>
      </w:r>
      <w:r w:rsidR="004A3DB2">
        <w:rPr>
          <w:rStyle w:val="FootnoteReference"/>
          <w:rFonts w:ascii="Tahoma" w:hAnsi="Tahoma" w:cs="Tahoma"/>
          <w:sz w:val="22"/>
          <w:szCs w:val="22"/>
          <w:lang w:val="sr-Cyrl-RS"/>
        </w:rPr>
        <w:footnoteReference w:id="3"/>
      </w:r>
      <w:r w:rsidRPr="009A395E">
        <w:rPr>
          <w:rFonts w:ascii="Tahoma" w:hAnsi="Tahoma" w:cs="Tahoma"/>
          <w:sz w:val="22"/>
          <w:szCs w:val="22"/>
          <w:lang w:val="sr-Cyrl-RS"/>
        </w:rPr>
        <w:t xml:space="preserve"> Применити одговарајуће националне системе социјалне заштите и мере за све, укључујући најугроженије, и до 2030. постићи довољно велики обухват сиромашних и рањивих.</w:t>
      </w:r>
    </w:p>
    <w:p w14:paraId="1950544C" w14:textId="0D1E1FEC" w:rsidR="00462943" w:rsidRPr="009A395E" w:rsidRDefault="00462943" w:rsidP="007327A7">
      <w:pPr>
        <w:shd w:val="clear" w:color="auto" w:fill="D9E2F3" w:themeFill="accent1" w:themeFillTint="33"/>
        <w:spacing w:after="160" w:line="259" w:lineRule="auto"/>
        <w:jc w:val="both"/>
        <w:rPr>
          <w:rFonts w:ascii="Tahoma" w:hAnsi="Tahoma" w:cs="Tahoma"/>
          <w:sz w:val="22"/>
          <w:szCs w:val="22"/>
          <w:lang w:val="sr-Cyrl-RS"/>
        </w:rPr>
      </w:pPr>
      <w:r w:rsidRPr="009A395E">
        <w:rPr>
          <w:rFonts w:ascii="Tahoma" w:hAnsi="Tahoma" w:cs="Tahoma"/>
          <w:sz w:val="22"/>
          <w:szCs w:val="22"/>
          <w:lang w:val="sr-Cyrl-RS"/>
        </w:rPr>
        <w:t>Валидност овог индикатора је упитна имајући у виду да укупни број корисника социјалне заштите представља збир веома различитих права и услуга, те да тај збир ни у апсолутном ни у релативном изразу заправо нема аналитичку вредност, а самим тим је и је упоредивост током времена, али и између ЈЛС, проблематична. То се најбоље уочава у сфери услуга социјалне заштите. Просто сабирање броја корисника разнородних услуга с различитим садржајем, програмима и моделима пружања не обезбеђује валидне информације.</w:t>
      </w:r>
    </w:p>
    <w:p w14:paraId="2D703A88" w14:textId="77777777" w:rsidR="005A1B51" w:rsidRPr="009A395E" w:rsidRDefault="005A1B51" w:rsidP="007327A7">
      <w:pPr>
        <w:shd w:val="clear" w:color="auto" w:fill="D9E2F3" w:themeFill="accent1" w:themeFillTint="33"/>
        <w:spacing w:after="160" w:line="259" w:lineRule="auto"/>
        <w:jc w:val="both"/>
        <w:rPr>
          <w:rFonts w:ascii="Tahoma" w:hAnsi="Tahoma" w:cs="Tahoma"/>
          <w:sz w:val="10"/>
          <w:szCs w:val="10"/>
          <w:lang w:val="sr-Cyrl-RS"/>
        </w:rPr>
      </w:pPr>
    </w:p>
    <w:bookmarkEnd w:id="2"/>
    <w:p w14:paraId="45824D05" w14:textId="77777777" w:rsidR="005A1B51" w:rsidRPr="006C6B32" w:rsidRDefault="005A1B51" w:rsidP="007327A7">
      <w:pPr>
        <w:spacing w:after="160" w:line="259" w:lineRule="auto"/>
        <w:jc w:val="both"/>
        <w:rPr>
          <w:rFonts w:ascii="Tahoma" w:hAnsi="Tahoma" w:cs="Tahoma"/>
          <w:bCs/>
          <w:iCs/>
          <w:sz w:val="10"/>
          <w:szCs w:val="10"/>
          <w:lang w:val="sr-Cyrl-RS"/>
        </w:rPr>
      </w:pPr>
    </w:p>
    <w:p w14:paraId="76954B70" w14:textId="31E6DBC0" w:rsidR="00462943" w:rsidRPr="009A395E" w:rsidRDefault="00462943" w:rsidP="007327A7">
      <w:pPr>
        <w:spacing w:after="160" w:line="259" w:lineRule="auto"/>
        <w:jc w:val="both"/>
        <w:rPr>
          <w:rFonts w:ascii="Tahoma" w:hAnsi="Tahoma" w:cs="Tahoma"/>
          <w:bCs/>
          <w:sz w:val="22"/>
          <w:szCs w:val="22"/>
          <w:lang w:val="sr-Cyrl-RS"/>
        </w:rPr>
      </w:pPr>
      <w:r w:rsidRPr="00315889">
        <w:rPr>
          <w:rFonts w:ascii="Tahoma" w:hAnsi="Tahoma" w:cs="Tahoma"/>
          <w:b/>
          <w:color w:val="2F5496" w:themeColor="accent1" w:themeShade="BF"/>
          <w:sz w:val="22"/>
          <w:szCs w:val="22"/>
          <w:lang w:val="sr-Cyrl-RS"/>
        </w:rPr>
        <w:t xml:space="preserve">Покривеност старих пензијама према проценама </w:t>
      </w:r>
      <w:r w:rsidR="00F1475D">
        <w:rPr>
          <w:rFonts w:ascii="Tahoma" w:hAnsi="Tahoma" w:cs="Tahoma"/>
          <w:b/>
          <w:color w:val="2F5496" w:themeColor="accent1" w:themeShade="BF"/>
          <w:sz w:val="22"/>
          <w:szCs w:val="22"/>
          <w:lang w:val="sr-Cyrl-RS"/>
        </w:rPr>
        <w:t>није на</w:t>
      </w:r>
      <w:r w:rsidRPr="00315889">
        <w:rPr>
          <w:rFonts w:ascii="Tahoma" w:hAnsi="Tahoma" w:cs="Tahoma"/>
          <w:b/>
          <w:color w:val="2F5496" w:themeColor="accent1" w:themeShade="BF"/>
          <w:sz w:val="22"/>
          <w:szCs w:val="22"/>
          <w:lang w:val="sr-Cyrl-RS"/>
        </w:rPr>
        <w:t xml:space="preserve"> високом нивоу</w:t>
      </w:r>
      <w:r w:rsidRPr="00B14816">
        <w:rPr>
          <w:rFonts w:ascii="Tahoma" w:hAnsi="Tahoma" w:cs="Tahoma"/>
          <w:bCs/>
          <w:color w:val="000000" w:themeColor="text1"/>
          <w:sz w:val="22"/>
          <w:szCs w:val="22"/>
          <w:lang w:val="sr-Cyrl-RS"/>
        </w:rPr>
        <w:t>.</w:t>
      </w:r>
      <w:r w:rsidRPr="009A395E">
        <w:rPr>
          <w:rFonts w:ascii="Tahoma" w:hAnsi="Tahoma" w:cs="Tahoma"/>
          <w:bCs/>
          <w:sz w:val="22"/>
          <w:szCs w:val="22"/>
          <w:lang w:val="sr-Cyrl-RS"/>
        </w:rPr>
        <w:t xml:space="preserve"> Подаци о броју пензионера по годинама живота по </w:t>
      </w:r>
      <w:r w:rsidR="00CC7BCE">
        <w:rPr>
          <w:rFonts w:ascii="Tahoma" w:hAnsi="Tahoma" w:cs="Tahoma"/>
          <w:bCs/>
          <w:sz w:val="22"/>
          <w:szCs w:val="22"/>
          <w:lang w:val="sr-Cyrl-RS"/>
        </w:rPr>
        <w:t>јединицама локалних самоуправа</w:t>
      </w:r>
      <w:r w:rsidRPr="009A395E">
        <w:rPr>
          <w:rFonts w:ascii="Tahoma" w:hAnsi="Tahoma" w:cs="Tahoma"/>
          <w:bCs/>
          <w:sz w:val="22"/>
          <w:szCs w:val="22"/>
          <w:lang w:val="sr-Cyrl-RS"/>
        </w:rPr>
        <w:t xml:space="preserve"> нису доступни. Према подацима ПИО у </w:t>
      </w:r>
      <w:r w:rsidR="00F1475D">
        <w:rPr>
          <w:rFonts w:ascii="Tahoma" w:hAnsi="Tahoma" w:cs="Tahoma"/>
          <w:bCs/>
          <w:sz w:val="22"/>
          <w:szCs w:val="22"/>
          <w:lang w:val="sr-Cyrl-RS"/>
        </w:rPr>
        <w:t>Смедеревској Паланци</w:t>
      </w:r>
      <w:r w:rsidRPr="009A395E">
        <w:rPr>
          <w:rFonts w:ascii="Tahoma" w:hAnsi="Tahoma" w:cs="Tahoma"/>
          <w:bCs/>
          <w:sz w:val="22"/>
          <w:szCs w:val="22"/>
          <w:lang w:val="sr-Cyrl-RS"/>
        </w:rPr>
        <w:t xml:space="preserve"> је 20</w:t>
      </w:r>
      <w:r w:rsidR="00142341">
        <w:rPr>
          <w:rFonts w:ascii="Tahoma" w:hAnsi="Tahoma" w:cs="Tahoma"/>
          <w:bCs/>
          <w:sz w:val="22"/>
          <w:szCs w:val="22"/>
          <w:lang w:val="sr-Cyrl-RS"/>
        </w:rPr>
        <w:t>20</w:t>
      </w:r>
      <w:r w:rsidRPr="009A395E">
        <w:rPr>
          <w:rFonts w:ascii="Tahoma" w:hAnsi="Tahoma" w:cs="Tahoma"/>
          <w:bCs/>
          <w:sz w:val="22"/>
          <w:szCs w:val="22"/>
          <w:lang w:val="sr-Cyrl-RS"/>
        </w:rPr>
        <w:t xml:space="preserve">. године пријављено </w:t>
      </w:r>
      <w:r w:rsidR="00F1475D">
        <w:rPr>
          <w:rFonts w:ascii="Tahoma" w:hAnsi="Tahoma" w:cs="Tahoma"/>
          <w:bCs/>
          <w:sz w:val="22"/>
          <w:szCs w:val="22"/>
          <w:lang w:val="sr-Cyrl-RS"/>
        </w:rPr>
        <w:t>1</w:t>
      </w:r>
      <w:r w:rsidR="00146DC9">
        <w:rPr>
          <w:rFonts w:ascii="Tahoma" w:hAnsi="Tahoma" w:cs="Tahoma"/>
          <w:bCs/>
          <w:sz w:val="22"/>
          <w:szCs w:val="22"/>
          <w:lang w:val="sr-Cyrl-RS"/>
        </w:rPr>
        <w:t>0.</w:t>
      </w:r>
      <w:r w:rsidR="00F1475D">
        <w:rPr>
          <w:rFonts w:ascii="Tahoma" w:hAnsi="Tahoma" w:cs="Tahoma"/>
          <w:bCs/>
          <w:sz w:val="22"/>
          <w:szCs w:val="22"/>
          <w:lang w:val="sr-Cyrl-RS"/>
        </w:rPr>
        <w:t>8</w:t>
      </w:r>
      <w:r w:rsidR="00146DC9">
        <w:rPr>
          <w:rFonts w:ascii="Tahoma" w:hAnsi="Tahoma" w:cs="Tahoma"/>
          <w:bCs/>
          <w:sz w:val="22"/>
          <w:szCs w:val="22"/>
          <w:lang w:val="sr-Cyrl-RS"/>
        </w:rPr>
        <w:t xml:space="preserve">84 </w:t>
      </w:r>
      <w:r w:rsidR="00C30B8D">
        <w:rPr>
          <w:rFonts w:ascii="Tahoma" w:hAnsi="Tahoma" w:cs="Tahoma"/>
          <w:bCs/>
          <w:sz w:val="22"/>
          <w:szCs w:val="22"/>
          <w:lang w:val="sr-Cyrl-RS"/>
        </w:rPr>
        <w:t>п</w:t>
      </w:r>
      <w:r w:rsidRPr="009A395E">
        <w:rPr>
          <w:rFonts w:ascii="Tahoma" w:hAnsi="Tahoma" w:cs="Tahoma"/>
          <w:bCs/>
          <w:sz w:val="22"/>
          <w:szCs w:val="22"/>
          <w:lang w:val="sr-Cyrl-RS"/>
        </w:rPr>
        <w:t>ензионера, док је према проценама РЗС</w:t>
      </w:r>
      <w:r w:rsidR="00F1475D">
        <w:rPr>
          <w:rFonts w:ascii="Tahoma" w:hAnsi="Tahoma" w:cs="Tahoma"/>
          <w:bCs/>
          <w:sz w:val="22"/>
          <w:szCs w:val="22"/>
          <w:lang w:val="sr-Cyrl-RS"/>
        </w:rPr>
        <w:t xml:space="preserve"> 10.704</w:t>
      </w:r>
      <w:r w:rsidRPr="009A395E">
        <w:rPr>
          <w:rFonts w:ascii="Tahoma" w:hAnsi="Tahoma" w:cs="Tahoma"/>
          <w:bCs/>
          <w:sz w:val="22"/>
          <w:szCs w:val="22"/>
          <w:lang w:val="sr-Cyrl-RS"/>
        </w:rPr>
        <w:t xml:space="preserve"> </w:t>
      </w:r>
      <w:r w:rsidR="00C30B8D" w:rsidRPr="00C30B8D">
        <w:rPr>
          <w:rFonts w:ascii="Tahoma" w:hAnsi="Tahoma" w:cs="Tahoma"/>
          <w:bCs/>
          <w:sz w:val="22"/>
          <w:szCs w:val="22"/>
          <w:lang w:val="sr-Cyrl-RS"/>
        </w:rPr>
        <w:t>л</w:t>
      </w:r>
      <w:r w:rsidRPr="00C30B8D">
        <w:rPr>
          <w:rFonts w:ascii="Tahoma" w:hAnsi="Tahoma" w:cs="Tahoma"/>
          <w:bCs/>
          <w:sz w:val="22"/>
          <w:szCs w:val="22"/>
          <w:lang w:val="sr-Cyrl-RS"/>
        </w:rPr>
        <w:t>ица стар</w:t>
      </w:r>
      <w:r w:rsidR="00F1475D">
        <w:rPr>
          <w:rFonts w:ascii="Tahoma" w:hAnsi="Tahoma" w:cs="Tahoma"/>
          <w:bCs/>
          <w:sz w:val="22"/>
          <w:szCs w:val="22"/>
          <w:lang w:val="sr-Cyrl-RS"/>
        </w:rPr>
        <w:t>о</w:t>
      </w:r>
      <w:r w:rsidRPr="00C30B8D">
        <w:rPr>
          <w:rFonts w:ascii="Tahoma" w:hAnsi="Tahoma" w:cs="Tahoma"/>
          <w:bCs/>
          <w:sz w:val="22"/>
          <w:szCs w:val="22"/>
          <w:lang w:val="sr-Cyrl-RS"/>
        </w:rPr>
        <w:t xml:space="preserve"> 65 </w:t>
      </w:r>
      <w:r w:rsidR="00F1475D">
        <w:rPr>
          <w:rFonts w:ascii="Tahoma" w:hAnsi="Tahoma" w:cs="Tahoma"/>
          <w:bCs/>
          <w:sz w:val="22"/>
          <w:szCs w:val="22"/>
          <w:lang w:val="sr-Cyrl-RS"/>
        </w:rPr>
        <w:t xml:space="preserve">и више </w:t>
      </w:r>
      <w:r w:rsidRPr="00C30B8D">
        <w:rPr>
          <w:rFonts w:ascii="Tahoma" w:hAnsi="Tahoma" w:cs="Tahoma"/>
          <w:bCs/>
          <w:sz w:val="22"/>
          <w:szCs w:val="22"/>
          <w:lang w:val="sr-Cyrl-RS"/>
        </w:rPr>
        <w:t>година,</w:t>
      </w:r>
      <w:r w:rsidRPr="009A395E">
        <w:rPr>
          <w:rFonts w:ascii="Tahoma" w:hAnsi="Tahoma" w:cs="Tahoma"/>
          <w:bCs/>
          <w:sz w:val="22"/>
          <w:szCs w:val="22"/>
          <w:lang w:val="sr-Cyrl-RS"/>
        </w:rPr>
        <w:t xml:space="preserve"> па се може проценити да покривеност старих пензија</w:t>
      </w:r>
      <w:r w:rsidR="00126170">
        <w:rPr>
          <w:rFonts w:ascii="Tahoma" w:hAnsi="Tahoma" w:cs="Tahoma"/>
          <w:bCs/>
          <w:sz w:val="22"/>
          <w:szCs w:val="22"/>
          <w:lang w:val="sr-Cyrl-RS"/>
        </w:rPr>
        <w:t xml:space="preserve"> није </w:t>
      </w:r>
      <w:r w:rsidRPr="009A395E">
        <w:rPr>
          <w:rFonts w:ascii="Tahoma" w:hAnsi="Tahoma" w:cs="Tahoma"/>
          <w:bCs/>
          <w:sz w:val="22"/>
          <w:szCs w:val="22"/>
          <w:lang w:val="sr-Cyrl-RS"/>
        </w:rPr>
        <w:t xml:space="preserve">висока, </w:t>
      </w:r>
      <w:r w:rsidR="00126170">
        <w:rPr>
          <w:rFonts w:ascii="Tahoma" w:hAnsi="Tahoma" w:cs="Tahoma"/>
          <w:bCs/>
          <w:sz w:val="22"/>
          <w:szCs w:val="22"/>
          <w:lang w:val="sr-Cyrl-RS"/>
        </w:rPr>
        <w:t>с обзиром</w:t>
      </w:r>
      <w:r w:rsidR="00126170" w:rsidRPr="009A395E">
        <w:rPr>
          <w:rFonts w:ascii="Tahoma" w:hAnsi="Tahoma" w:cs="Tahoma"/>
          <w:bCs/>
          <w:sz w:val="22"/>
          <w:szCs w:val="22"/>
          <w:lang w:val="sr-Cyrl-RS"/>
        </w:rPr>
        <w:t xml:space="preserve"> </w:t>
      </w:r>
      <w:r w:rsidR="00126170">
        <w:rPr>
          <w:rFonts w:ascii="Tahoma" w:hAnsi="Tahoma" w:cs="Tahoma"/>
          <w:bCs/>
          <w:sz w:val="22"/>
          <w:szCs w:val="22"/>
          <w:lang w:val="sr-Cyrl-RS"/>
        </w:rPr>
        <w:t xml:space="preserve"> да </w:t>
      </w:r>
      <w:r w:rsidRPr="009A395E">
        <w:rPr>
          <w:rFonts w:ascii="Tahoma" w:hAnsi="Tahoma" w:cs="Tahoma"/>
          <w:bCs/>
          <w:sz w:val="22"/>
          <w:szCs w:val="22"/>
          <w:lang w:val="sr-Cyrl-RS"/>
        </w:rPr>
        <w:t>је један број пензионера млађи од 65 година (млађ</w:t>
      </w:r>
      <w:r w:rsidR="00126170">
        <w:rPr>
          <w:rFonts w:ascii="Tahoma" w:hAnsi="Tahoma" w:cs="Tahoma"/>
          <w:bCs/>
          <w:sz w:val="22"/>
          <w:szCs w:val="22"/>
          <w:lang w:val="sr-Cyrl-RS"/>
        </w:rPr>
        <w:t>и</w:t>
      </w:r>
      <w:r w:rsidRPr="009A395E">
        <w:rPr>
          <w:rFonts w:ascii="Tahoma" w:hAnsi="Tahoma" w:cs="Tahoma"/>
          <w:bCs/>
          <w:sz w:val="22"/>
          <w:szCs w:val="22"/>
          <w:lang w:val="sr-Cyrl-RS"/>
        </w:rPr>
        <w:t xml:space="preserve"> корисни</w:t>
      </w:r>
      <w:r w:rsidR="00126170">
        <w:rPr>
          <w:rFonts w:ascii="Tahoma" w:hAnsi="Tahoma" w:cs="Tahoma"/>
          <w:bCs/>
          <w:sz w:val="22"/>
          <w:szCs w:val="22"/>
          <w:lang w:val="sr-Cyrl-RS"/>
        </w:rPr>
        <w:t>ци</w:t>
      </w:r>
      <w:r w:rsidRPr="009A395E">
        <w:rPr>
          <w:rFonts w:ascii="Tahoma" w:hAnsi="Tahoma" w:cs="Tahoma"/>
          <w:bCs/>
          <w:sz w:val="22"/>
          <w:szCs w:val="22"/>
          <w:lang w:val="sr-Cyrl-RS"/>
        </w:rPr>
        <w:t xml:space="preserve"> породичне и инвалидске пензије, корисници старосне пензије који су се пензионисали пре старосне границе и још нису напунили 65 година сл.). </w:t>
      </w:r>
      <w:r w:rsidR="00655F9E">
        <w:rPr>
          <w:rFonts w:ascii="Tahoma" w:hAnsi="Tahoma" w:cs="Tahoma"/>
          <w:bCs/>
          <w:sz w:val="22"/>
          <w:szCs w:val="22"/>
          <w:lang w:val="sr-Cyrl-RS"/>
        </w:rPr>
        <w:t xml:space="preserve">На </w:t>
      </w:r>
      <w:r w:rsidR="00542FCC">
        <w:rPr>
          <w:rFonts w:ascii="Tahoma" w:hAnsi="Tahoma" w:cs="Tahoma"/>
          <w:bCs/>
          <w:sz w:val="22"/>
          <w:szCs w:val="22"/>
          <w:lang w:val="sr-Cyrl-RS"/>
        </w:rPr>
        <w:t xml:space="preserve">подручју </w:t>
      </w:r>
      <w:r w:rsidRPr="009A395E">
        <w:rPr>
          <w:rFonts w:ascii="Tahoma" w:hAnsi="Tahoma" w:cs="Tahoma"/>
          <w:bCs/>
          <w:sz w:val="22"/>
          <w:szCs w:val="22"/>
          <w:lang w:val="sr-Cyrl-RS"/>
        </w:rPr>
        <w:t>Србиј</w:t>
      </w:r>
      <w:r w:rsidR="00655F9E">
        <w:rPr>
          <w:rFonts w:ascii="Tahoma" w:hAnsi="Tahoma" w:cs="Tahoma"/>
          <w:bCs/>
          <w:sz w:val="22"/>
          <w:szCs w:val="22"/>
          <w:lang w:val="sr-Cyrl-RS"/>
        </w:rPr>
        <w:t>а-југ</w:t>
      </w:r>
      <w:r w:rsidRPr="009A395E">
        <w:rPr>
          <w:rFonts w:ascii="Tahoma" w:hAnsi="Tahoma" w:cs="Tahoma"/>
          <w:bCs/>
          <w:sz w:val="22"/>
          <w:szCs w:val="22"/>
          <w:lang w:val="sr-Cyrl-RS"/>
        </w:rPr>
        <w:t xml:space="preserve"> је однос броја пензионера и популације </w:t>
      </w:r>
      <w:r w:rsidR="00126170">
        <w:rPr>
          <w:rFonts w:ascii="Tahoma" w:hAnsi="Tahoma" w:cs="Tahoma"/>
          <w:bCs/>
          <w:sz w:val="22"/>
          <w:szCs w:val="22"/>
          <w:lang w:val="sr-Cyrl-RS"/>
        </w:rPr>
        <w:t>65+ виши</w:t>
      </w:r>
      <w:r w:rsidRPr="009A395E">
        <w:rPr>
          <w:rFonts w:ascii="Tahoma" w:hAnsi="Tahoma" w:cs="Tahoma"/>
          <w:bCs/>
          <w:sz w:val="22"/>
          <w:szCs w:val="22"/>
          <w:lang w:val="sr-Cyrl-RS"/>
        </w:rPr>
        <w:t xml:space="preserve">, па се индиректно може закључити да је покривеност </w:t>
      </w:r>
      <w:r w:rsidR="00C30B8D">
        <w:rPr>
          <w:rFonts w:ascii="Tahoma" w:hAnsi="Tahoma" w:cs="Tahoma"/>
          <w:bCs/>
          <w:sz w:val="22"/>
          <w:szCs w:val="22"/>
          <w:lang w:val="sr-Cyrl-RS"/>
        </w:rPr>
        <w:t xml:space="preserve">старих </w:t>
      </w:r>
      <w:r w:rsidRPr="009A395E">
        <w:rPr>
          <w:rFonts w:ascii="Tahoma" w:hAnsi="Tahoma" w:cs="Tahoma"/>
          <w:bCs/>
          <w:sz w:val="22"/>
          <w:szCs w:val="22"/>
          <w:lang w:val="sr-Cyrl-RS"/>
        </w:rPr>
        <w:t xml:space="preserve">пензијама у </w:t>
      </w:r>
      <w:r w:rsidR="00126170">
        <w:rPr>
          <w:rFonts w:ascii="Tahoma" w:hAnsi="Tahoma" w:cs="Tahoma"/>
          <w:bCs/>
          <w:sz w:val="22"/>
          <w:szCs w:val="22"/>
          <w:lang w:val="sr-Cyrl-RS"/>
        </w:rPr>
        <w:t>Смедеревској Паланци</w:t>
      </w:r>
      <w:r w:rsidRPr="009A395E">
        <w:rPr>
          <w:rFonts w:ascii="Tahoma" w:hAnsi="Tahoma" w:cs="Tahoma"/>
          <w:bCs/>
          <w:sz w:val="22"/>
          <w:szCs w:val="22"/>
          <w:lang w:val="sr-Cyrl-RS"/>
        </w:rPr>
        <w:t xml:space="preserve"> и</w:t>
      </w:r>
      <w:r w:rsidR="00126170">
        <w:rPr>
          <w:rFonts w:ascii="Tahoma" w:hAnsi="Tahoma" w:cs="Tahoma"/>
          <w:bCs/>
          <w:sz w:val="22"/>
          <w:szCs w:val="22"/>
          <w:lang w:val="sr-Cyrl-RS"/>
        </w:rPr>
        <w:t>спод</w:t>
      </w:r>
      <w:r w:rsidRPr="009A395E">
        <w:rPr>
          <w:rFonts w:ascii="Tahoma" w:hAnsi="Tahoma" w:cs="Tahoma"/>
          <w:bCs/>
          <w:sz w:val="22"/>
          <w:szCs w:val="22"/>
          <w:lang w:val="sr-Cyrl-RS"/>
        </w:rPr>
        <w:t xml:space="preserve"> просека</w:t>
      </w:r>
      <w:r w:rsidR="00613952">
        <w:rPr>
          <w:rFonts w:ascii="Tahoma" w:hAnsi="Tahoma" w:cs="Tahoma"/>
          <w:bCs/>
          <w:sz w:val="22"/>
          <w:szCs w:val="22"/>
          <w:lang w:val="sr-Cyrl-RS"/>
        </w:rPr>
        <w:t xml:space="preserve"> (Табела 3)</w:t>
      </w:r>
      <w:r w:rsidRPr="009A395E">
        <w:rPr>
          <w:rFonts w:ascii="Tahoma" w:hAnsi="Tahoma" w:cs="Tahoma"/>
          <w:bCs/>
          <w:sz w:val="22"/>
          <w:szCs w:val="22"/>
          <w:lang w:val="sr-Cyrl-RS"/>
        </w:rPr>
        <w:t xml:space="preserve">. </w:t>
      </w:r>
    </w:p>
    <w:p w14:paraId="558BA8B7" w14:textId="0805022E" w:rsidR="00675EF5" w:rsidRDefault="00154516" w:rsidP="007327A7">
      <w:pPr>
        <w:spacing w:after="160" w:line="259" w:lineRule="auto"/>
        <w:jc w:val="both"/>
        <w:rPr>
          <w:rFonts w:ascii="Tahoma" w:hAnsi="Tahoma" w:cs="Tahoma"/>
          <w:bCs/>
          <w:sz w:val="22"/>
          <w:szCs w:val="22"/>
          <w:lang w:val="sr-Cyrl-RS"/>
        </w:rPr>
      </w:pPr>
      <w:r>
        <w:rPr>
          <w:rFonts w:ascii="Tahoma" w:hAnsi="Tahoma" w:cs="Tahoma"/>
          <w:bCs/>
          <w:sz w:val="22"/>
          <w:szCs w:val="22"/>
          <w:lang w:val="sr-Cyrl-RS"/>
        </w:rPr>
        <w:t>И п</w:t>
      </w:r>
      <w:r w:rsidR="00462943" w:rsidRPr="009A395E">
        <w:rPr>
          <w:rFonts w:ascii="Tahoma" w:hAnsi="Tahoma" w:cs="Tahoma"/>
          <w:bCs/>
          <w:sz w:val="22"/>
          <w:szCs w:val="22"/>
          <w:lang w:val="sr-Cyrl-RS"/>
        </w:rPr>
        <w:t xml:space="preserve">росечна пензија у </w:t>
      </w:r>
      <w:r w:rsidR="00126170">
        <w:rPr>
          <w:rFonts w:ascii="Tahoma" w:hAnsi="Tahoma" w:cs="Tahoma"/>
          <w:bCs/>
          <w:sz w:val="22"/>
          <w:szCs w:val="22"/>
          <w:lang w:val="sr-Cyrl-RS"/>
        </w:rPr>
        <w:t>Смедеревској Паланци</w:t>
      </w:r>
      <w:r w:rsidR="00462943" w:rsidRPr="009A395E">
        <w:rPr>
          <w:rFonts w:ascii="Tahoma" w:hAnsi="Tahoma" w:cs="Tahoma"/>
          <w:bCs/>
          <w:sz w:val="22"/>
          <w:szCs w:val="22"/>
          <w:lang w:val="sr-Cyrl-RS"/>
        </w:rPr>
        <w:t xml:space="preserve"> је </w:t>
      </w:r>
      <w:r w:rsidR="00126170">
        <w:rPr>
          <w:rFonts w:ascii="Tahoma" w:hAnsi="Tahoma" w:cs="Tahoma"/>
          <w:bCs/>
          <w:sz w:val="22"/>
          <w:szCs w:val="22"/>
          <w:lang w:val="sr-Cyrl-RS"/>
        </w:rPr>
        <w:t>нижа</w:t>
      </w:r>
      <w:r>
        <w:rPr>
          <w:rFonts w:ascii="Tahoma" w:hAnsi="Tahoma" w:cs="Tahoma"/>
          <w:bCs/>
          <w:sz w:val="22"/>
          <w:szCs w:val="22"/>
          <w:lang w:val="sr-Cyrl-RS"/>
        </w:rPr>
        <w:t xml:space="preserve"> </w:t>
      </w:r>
      <w:r w:rsidR="00462943" w:rsidRPr="009A395E">
        <w:rPr>
          <w:rFonts w:ascii="Tahoma" w:hAnsi="Tahoma" w:cs="Tahoma"/>
          <w:bCs/>
          <w:sz w:val="22"/>
          <w:szCs w:val="22"/>
          <w:lang w:val="sr-Cyrl-RS"/>
        </w:rPr>
        <w:t xml:space="preserve">од просечне пензије </w:t>
      </w:r>
      <w:r>
        <w:rPr>
          <w:rFonts w:ascii="Tahoma" w:hAnsi="Tahoma" w:cs="Tahoma"/>
          <w:bCs/>
          <w:sz w:val="22"/>
          <w:szCs w:val="22"/>
          <w:lang w:val="sr-Cyrl-RS"/>
        </w:rPr>
        <w:t xml:space="preserve">на </w:t>
      </w:r>
      <w:r w:rsidR="006A5CCF">
        <w:rPr>
          <w:rFonts w:ascii="Tahoma" w:hAnsi="Tahoma" w:cs="Tahoma"/>
          <w:bCs/>
          <w:sz w:val="22"/>
          <w:szCs w:val="22"/>
          <w:lang w:val="sr-Cyrl-RS"/>
        </w:rPr>
        <w:t>подручју</w:t>
      </w:r>
      <w:r>
        <w:rPr>
          <w:rFonts w:ascii="Tahoma" w:hAnsi="Tahoma" w:cs="Tahoma"/>
          <w:bCs/>
          <w:sz w:val="22"/>
          <w:szCs w:val="22"/>
          <w:lang w:val="sr-Cyrl-RS"/>
        </w:rPr>
        <w:t xml:space="preserve"> Србија-југ.</w:t>
      </w:r>
    </w:p>
    <w:p w14:paraId="239F113B" w14:textId="77777777" w:rsidR="00675EF5" w:rsidRPr="00675EF5" w:rsidRDefault="00675EF5" w:rsidP="007327A7">
      <w:pPr>
        <w:spacing w:after="160" w:line="259" w:lineRule="auto"/>
        <w:jc w:val="both"/>
        <w:rPr>
          <w:rFonts w:ascii="Tahoma" w:hAnsi="Tahoma" w:cs="Tahoma"/>
          <w:bCs/>
          <w:sz w:val="10"/>
          <w:szCs w:val="10"/>
          <w:lang w:val="sr-Cyrl-RS"/>
        </w:rPr>
      </w:pPr>
    </w:p>
    <w:p w14:paraId="4C8244CF" w14:textId="0F348E66" w:rsidR="005A1B51" w:rsidRPr="00CA76D3" w:rsidRDefault="00462943" w:rsidP="007327A7">
      <w:pPr>
        <w:spacing w:after="160" w:line="259" w:lineRule="auto"/>
        <w:jc w:val="both"/>
        <w:rPr>
          <w:rFonts w:ascii="Tahoma" w:hAnsi="Tahoma" w:cs="Tahoma"/>
          <w:color w:val="2F5496"/>
          <w:sz w:val="22"/>
          <w:szCs w:val="22"/>
          <w:lang w:val="sr-Cyrl-RS"/>
        </w:rPr>
      </w:pPr>
      <w:r w:rsidRPr="00675EF5">
        <w:rPr>
          <w:rFonts w:ascii="Tahoma" w:hAnsi="Tahoma" w:cs="Tahoma"/>
          <w:color w:val="2F5496"/>
          <w:sz w:val="22"/>
          <w:szCs w:val="22"/>
          <w:lang w:val="sr-Cyrl-RS"/>
        </w:rPr>
        <w:t xml:space="preserve">Табела 3. Просечна пензија и однос броја пензионера и становништва 65+, </w:t>
      </w:r>
      <w:r w:rsidR="00AF40AE">
        <w:rPr>
          <w:rFonts w:ascii="Tahoma" w:hAnsi="Tahoma" w:cs="Tahoma"/>
          <w:color w:val="2F5496"/>
          <w:sz w:val="22"/>
          <w:szCs w:val="22"/>
          <w:lang w:val="sr-Latn-RS"/>
        </w:rPr>
        <w:t>2</w:t>
      </w:r>
      <w:r w:rsidRPr="00675EF5">
        <w:rPr>
          <w:rFonts w:ascii="Tahoma" w:hAnsi="Tahoma" w:cs="Tahoma"/>
          <w:color w:val="2F5496"/>
          <w:sz w:val="22"/>
          <w:szCs w:val="22"/>
          <w:lang w:val="sr-Cyrl-RS"/>
        </w:rPr>
        <w:t>0</w:t>
      </w:r>
      <w:r w:rsidR="004D7CA9">
        <w:rPr>
          <w:rFonts w:ascii="Tahoma" w:hAnsi="Tahoma" w:cs="Tahoma"/>
          <w:color w:val="2F5496"/>
          <w:sz w:val="22"/>
          <w:szCs w:val="22"/>
          <w:lang w:val="sr-Cyrl-RS"/>
        </w:rPr>
        <w:t>20</w:t>
      </w:r>
      <w:r w:rsidRPr="00675EF5">
        <w:rPr>
          <w:rFonts w:ascii="Tahoma" w:hAnsi="Tahoma" w:cs="Tahoma"/>
          <w:color w:val="2F5496"/>
          <w:sz w:val="22"/>
          <w:szCs w:val="22"/>
          <w:lang w:val="sr-Cyrl-RS"/>
        </w:rPr>
        <w:t>.</w:t>
      </w:r>
    </w:p>
    <w:tbl>
      <w:tblPr>
        <w:tblStyle w:val="GridTable5Dark-Accent51"/>
        <w:tblpPr w:leftFromText="180" w:rightFromText="180" w:vertAnchor="text" w:horzAnchor="margin" w:tblpX="-10" w:tblpY="4"/>
        <w:tblW w:w="9493" w:type="dxa"/>
        <w:tblLayout w:type="fixed"/>
        <w:tblLook w:val="04A0" w:firstRow="1" w:lastRow="0" w:firstColumn="1" w:lastColumn="0" w:noHBand="0" w:noVBand="1"/>
      </w:tblPr>
      <w:tblGrid>
        <w:gridCol w:w="5524"/>
        <w:gridCol w:w="1701"/>
        <w:gridCol w:w="2268"/>
      </w:tblGrid>
      <w:tr w:rsidR="005515D2" w:rsidRPr="00361404" w14:paraId="7A38C1AA" w14:textId="77777777" w:rsidTr="00624B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right w:val="single" w:sz="4" w:space="0" w:color="FFFFFF" w:themeColor="background1"/>
            </w:tcBorders>
            <w:shd w:val="clear" w:color="auto" w:fill="2F5496" w:themeFill="accent1" w:themeFillShade="BF"/>
          </w:tcPr>
          <w:p w14:paraId="470B3377" w14:textId="77777777" w:rsidR="005515D2" w:rsidRPr="00361404" w:rsidRDefault="005515D2" w:rsidP="00624B5E">
            <w:pPr>
              <w:spacing w:after="160" w:line="259" w:lineRule="auto"/>
              <w:jc w:val="both"/>
              <w:rPr>
                <w:rFonts w:ascii="Tahoma" w:hAnsi="Tahoma" w:cs="Tahoma"/>
                <w:sz w:val="21"/>
                <w:szCs w:val="21"/>
                <w:lang w:val="sr-Cyrl-RS"/>
              </w:rPr>
            </w:pPr>
          </w:p>
        </w:tc>
        <w:tc>
          <w:tcPr>
            <w:tcW w:w="1701" w:type="dxa"/>
            <w:tcBorders>
              <w:left w:val="single" w:sz="4" w:space="0" w:color="FFFFFF" w:themeColor="background1"/>
              <w:right w:val="single" w:sz="4" w:space="0" w:color="FFFFFF" w:themeColor="background1"/>
            </w:tcBorders>
            <w:shd w:val="clear" w:color="auto" w:fill="2F5496" w:themeFill="accent1" w:themeFillShade="BF"/>
            <w:vAlign w:val="center"/>
          </w:tcPr>
          <w:p w14:paraId="13C23F37" w14:textId="30DA3F7E" w:rsidR="005515D2" w:rsidRPr="009F6B72" w:rsidRDefault="005259DD" w:rsidP="00624B5E">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sz w:val="21"/>
                <w:szCs w:val="21"/>
                <w:lang w:val="sr-Cyrl-RS"/>
              </w:rPr>
            </w:pPr>
            <w:r>
              <w:rPr>
                <w:rFonts w:ascii="Tahoma" w:hAnsi="Tahoma" w:cs="Tahoma"/>
                <w:sz w:val="21"/>
                <w:szCs w:val="21"/>
                <w:lang w:val="sr-Cyrl-RS"/>
              </w:rPr>
              <w:t>Смедеревска Паланка</w:t>
            </w:r>
          </w:p>
        </w:tc>
        <w:tc>
          <w:tcPr>
            <w:tcW w:w="2268" w:type="dxa"/>
            <w:tcBorders>
              <w:left w:val="single" w:sz="4" w:space="0" w:color="FFFFFF" w:themeColor="background1"/>
            </w:tcBorders>
            <w:shd w:val="clear" w:color="auto" w:fill="2F5496" w:themeFill="accent1" w:themeFillShade="BF"/>
            <w:vAlign w:val="center"/>
          </w:tcPr>
          <w:p w14:paraId="1DFFD270" w14:textId="77777777" w:rsidR="005515D2" w:rsidRPr="00361404" w:rsidRDefault="005515D2" w:rsidP="00624B5E">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sz w:val="21"/>
                <w:szCs w:val="21"/>
                <w:lang w:val="sr-Cyrl-RS"/>
              </w:rPr>
            </w:pPr>
            <w:r>
              <w:rPr>
                <w:rFonts w:ascii="Tahoma" w:hAnsi="Tahoma" w:cs="Tahoma"/>
                <w:sz w:val="21"/>
                <w:szCs w:val="21"/>
                <w:lang w:val="sr-Cyrl-RS"/>
              </w:rPr>
              <w:t>Србија-југ</w:t>
            </w:r>
          </w:p>
        </w:tc>
      </w:tr>
      <w:tr w:rsidR="005515D2" w:rsidRPr="00361404" w14:paraId="5986367F" w14:textId="77777777" w:rsidTr="00624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shd w:val="clear" w:color="auto" w:fill="D9E2F3" w:themeFill="accent1" w:themeFillTint="33"/>
          </w:tcPr>
          <w:p w14:paraId="6E6A92B0" w14:textId="506F5A84" w:rsidR="005515D2" w:rsidRPr="00B02F97" w:rsidRDefault="005515D2" w:rsidP="00624B5E">
            <w:pPr>
              <w:spacing w:after="160" w:line="259" w:lineRule="auto"/>
              <w:jc w:val="both"/>
              <w:rPr>
                <w:rFonts w:ascii="Tahoma" w:hAnsi="Tahoma" w:cs="Tahoma"/>
                <w:color w:val="1F3864" w:themeColor="accent1" w:themeShade="80"/>
                <w:sz w:val="21"/>
                <w:szCs w:val="21"/>
                <w:lang w:val="sr-Cyrl-RS"/>
              </w:rPr>
            </w:pPr>
            <w:r w:rsidRPr="00675EF5">
              <w:rPr>
                <w:rFonts w:ascii="Tahoma" w:hAnsi="Tahoma" w:cs="Tahoma"/>
                <w:color w:val="1F3864" w:themeColor="accent1" w:themeShade="80"/>
                <w:sz w:val="21"/>
                <w:szCs w:val="21"/>
                <w:lang w:val="sr-Cyrl-RS"/>
              </w:rPr>
              <w:t xml:space="preserve">Просечна пензија </w:t>
            </w:r>
            <w:r w:rsidR="00126170">
              <w:rPr>
                <w:rFonts w:ascii="Tahoma" w:hAnsi="Tahoma" w:cs="Tahoma"/>
                <w:color w:val="1F3864" w:themeColor="accent1" w:themeShade="80"/>
                <w:sz w:val="21"/>
                <w:szCs w:val="21"/>
                <w:lang w:val="sr-Cyrl-RS"/>
              </w:rPr>
              <w:t>(РСД)</w:t>
            </w:r>
          </w:p>
        </w:tc>
        <w:tc>
          <w:tcPr>
            <w:tcW w:w="1701" w:type="dxa"/>
            <w:shd w:val="clear" w:color="auto" w:fill="D9E2F3" w:themeFill="accent1" w:themeFillTint="33"/>
          </w:tcPr>
          <w:p w14:paraId="098A5490" w14:textId="74C7A4D7" w:rsidR="005515D2" w:rsidRPr="001A7B9D" w:rsidRDefault="001D325D" w:rsidP="00542FCC">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rPr>
            </w:pPr>
            <w:r w:rsidRPr="001D325D">
              <w:rPr>
                <w:rFonts w:ascii="Tahoma" w:hAnsi="Tahoma" w:cs="Tahoma"/>
                <w:sz w:val="21"/>
                <w:szCs w:val="21"/>
              </w:rPr>
              <w:t>22</w:t>
            </w:r>
            <w:r>
              <w:rPr>
                <w:rFonts w:ascii="Tahoma" w:hAnsi="Tahoma" w:cs="Tahoma"/>
                <w:sz w:val="21"/>
                <w:szCs w:val="21"/>
                <w:lang w:val="sr-Cyrl-RS"/>
              </w:rPr>
              <w:t>.</w:t>
            </w:r>
            <w:r w:rsidRPr="001D325D">
              <w:rPr>
                <w:rFonts w:ascii="Tahoma" w:hAnsi="Tahoma" w:cs="Tahoma"/>
                <w:sz w:val="21"/>
                <w:szCs w:val="21"/>
              </w:rPr>
              <w:t>843</w:t>
            </w:r>
          </w:p>
        </w:tc>
        <w:tc>
          <w:tcPr>
            <w:tcW w:w="2268" w:type="dxa"/>
            <w:shd w:val="clear" w:color="auto" w:fill="D9E2F3" w:themeFill="accent1" w:themeFillTint="33"/>
          </w:tcPr>
          <w:p w14:paraId="1ADADE13" w14:textId="77777777" w:rsidR="005515D2" w:rsidRPr="00AD4742" w:rsidRDefault="005515D2" w:rsidP="00542FCC">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rPr>
            </w:pPr>
            <w:r>
              <w:rPr>
                <w:rFonts w:ascii="Tahoma" w:hAnsi="Tahoma" w:cs="Tahoma"/>
                <w:sz w:val="21"/>
                <w:szCs w:val="21"/>
                <w:lang w:val="sr-Cyrl-RS"/>
              </w:rPr>
              <w:t>23.569</w:t>
            </w:r>
          </w:p>
        </w:tc>
      </w:tr>
      <w:tr w:rsidR="005515D2" w:rsidRPr="00361404" w14:paraId="3656BC2F" w14:textId="77777777" w:rsidTr="00624B5E">
        <w:tc>
          <w:tcPr>
            <w:cnfStyle w:val="001000000000" w:firstRow="0" w:lastRow="0" w:firstColumn="1" w:lastColumn="0" w:oddVBand="0" w:evenVBand="0" w:oddHBand="0" w:evenHBand="0" w:firstRowFirstColumn="0" w:firstRowLastColumn="0" w:lastRowFirstColumn="0" w:lastRowLastColumn="0"/>
            <w:tcW w:w="5524" w:type="dxa"/>
            <w:shd w:val="clear" w:color="auto" w:fill="B4C6E7" w:themeFill="accent1" w:themeFillTint="66"/>
          </w:tcPr>
          <w:p w14:paraId="0CE59DCD" w14:textId="77777777" w:rsidR="005515D2" w:rsidRPr="00B02F97" w:rsidRDefault="005515D2" w:rsidP="00624B5E">
            <w:pPr>
              <w:spacing w:after="160" w:line="259" w:lineRule="auto"/>
              <w:jc w:val="both"/>
              <w:rPr>
                <w:rFonts w:ascii="Tahoma" w:hAnsi="Tahoma" w:cs="Tahoma"/>
                <w:color w:val="1F3864" w:themeColor="accent1" w:themeShade="80"/>
                <w:sz w:val="21"/>
                <w:szCs w:val="21"/>
                <w:lang w:val="sr-Cyrl-RS"/>
              </w:rPr>
            </w:pPr>
            <w:r w:rsidRPr="00675EF5">
              <w:rPr>
                <w:rFonts w:ascii="Tahoma" w:hAnsi="Tahoma" w:cs="Tahoma"/>
                <w:color w:val="1F3864" w:themeColor="accent1" w:themeShade="80"/>
                <w:sz w:val="21"/>
                <w:szCs w:val="21"/>
                <w:lang w:val="sr-Cyrl-RS"/>
              </w:rPr>
              <w:t>Однос пензионера и становништва 65+</w:t>
            </w:r>
            <w:r>
              <w:rPr>
                <w:rFonts w:ascii="Tahoma" w:hAnsi="Tahoma" w:cs="Tahoma"/>
                <w:color w:val="1F3864" w:themeColor="accent1" w:themeShade="80"/>
                <w:sz w:val="21"/>
                <w:szCs w:val="21"/>
                <w:lang w:val="sr-Cyrl-RS"/>
              </w:rPr>
              <w:t xml:space="preserve"> </w:t>
            </w:r>
            <w:r w:rsidRPr="00A53F72">
              <w:rPr>
                <w:rFonts w:ascii="Tahoma" w:hAnsi="Tahoma" w:cs="Tahoma"/>
                <w:color w:val="1F3864" w:themeColor="accent1" w:themeShade="80"/>
                <w:sz w:val="21"/>
                <w:szCs w:val="21"/>
                <w:lang w:val="sr-Cyrl-RS"/>
              </w:rPr>
              <w:t>(%)</w:t>
            </w:r>
          </w:p>
        </w:tc>
        <w:tc>
          <w:tcPr>
            <w:tcW w:w="1701" w:type="dxa"/>
            <w:shd w:val="clear" w:color="auto" w:fill="B4C6E7" w:themeFill="accent1" w:themeFillTint="66"/>
          </w:tcPr>
          <w:p w14:paraId="5FE37805" w14:textId="40B41A0D" w:rsidR="005515D2" w:rsidRPr="00675EF5" w:rsidRDefault="001D325D" w:rsidP="00542FCC">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lang w:val="sr-Cyrl-RS"/>
              </w:rPr>
            </w:pPr>
            <w:r>
              <w:rPr>
                <w:rFonts w:ascii="Tahoma" w:hAnsi="Tahoma" w:cs="Tahoma"/>
                <w:sz w:val="21"/>
                <w:szCs w:val="21"/>
                <w:lang w:val="sr-Cyrl-RS"/>
              </w:rPr>
              <w:t>101,7</w:t>
            </w:r>
            <w:r w:rsidR="00C3762C">
              <w:rPr>
                <w:rFonts w:ascii="Tahoma" w:hAnsi="Tahoma" w:cs="Tahoma"/>
                <w:sz w:val="21"/>
                <w:szCs w:val="21"/>
                <w:lang w:val="sr-Cyrl-RS"/>
              </w:rPr>
              <w:t>%</w:t>
            </w:r>
          </w:p>
        </w:tc>
        <w:tc>
          <w:tcPr>
            <w:tcW w:w="2268" w:type="dxa"/>
            <w:shd w:val="clear" w:color="auto" w:fill="B4C6E7" w:themeFill="accent1" w:themeFillTint="66"/>
          </w:tcPr>
          <w:p w14:paraId="34803AA6" w14:textId="77777777" w:rsidR="005515D2" w:rsidRPr="00675EF5" w:rsidRDefault="005515D2" w:rsidP="00542FCC">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lang w:val="sr-Cyrl-RS"/>
              </w:rPr>
            </w:pPr>
            <w:r>
              <w:rPr>
                <w:rFonts w:ascii="Tahoma" w:hAnsi="Tahoma" w:cs="Tahoma"/>
                <w:sz w:val="21"/>
                <w:szCs w:val="21"/>
                <w:lang w:val="sr-Cyrl-RS"/>
              </w:rPr>
              <w:t>113,0</w:t>
            </w:r>
            <w:r w:rsidRPr="00675EF5">
              <w:rPr>
                <w:rFonts w:ascii="Tahoma" w:hAnsi="Tahoma" w:cs="Tahoma"/>
                <w:sz w:val="21"/>
                <w:szCs w:val="21"/>
              </w:rPr>
              <w:t>%</w:t>
            </w:r>
          </w:p>
        </w:tc>
      </w:tr>
    </w:tbl>
    <w:p w14:paraId="317FC1C7" w14:textId="1476024F" w:rsidR="00675EF5" w:rsidRPr="00675EF5" w:rsidRDefault="00CA76D3" w:rsidP="007327A7">
      <w:pPr>
        <w:spacing w:after="160" w:line="259" w:lineRule="auto"/>
        <w:jc w:val="both"/>
        <w:rPr>
          <w:rFonts w:ascii="Tahoma" w:hAnsi="Tahoma" w:cs="Tahoma"/>
          <w:bCs/>
          <w:iCs/>
          <w:sz w:val="22"/>
          <w:szCs w:val="22"/>
          <w:lang w:val="sr-Cyrl-RS"/>
        </w:rPr>
      </w:pPr>
      <w:r w:rsidRPr="00CA76D3">
        <w:rPr>
          <w:rFonts w:ascii="Tahoma" w:hAnsi="Tahoma" w:cs="Tahoma"/>
          <w:bCs/>
          <w:iCs/>
          <w:sz w:val="18"/>
          <w:szCs w:val="18"/>
          <w:lang w:val="sr-Cyrl-RS"/>
        </w:rPr>
        <w:t xml:space="preserve">Извор: ПИО фонд и Републички завод за статистику. </w:t>
      </w:r>
    </w:p>
    <w:p w14:paraId="6B37ED24" w14:textId="77777777" w:rsidR="00CA76D3" w:rsidRPr="00CA76D3" w:rsidRDefault="00CA76D3" w:rsidP="007327A7">
      <w:pPr>
        <w:spacing w:after="160" w:line="259" w:lineRule="auto"/>
        <w:jc w:val="both"/>
        <w:rPr>
          <w:rFonts w:ascii="Tahoma" w:hAnsi="Tahoma" w:cs="Tahoma"/>
          <w:bCs/>
          <w:sz w:val="10"/>
          <w:szCs w:val="10"/>
          <w:lang w:val="sr-Cyrl-RS"/>
        </w:rPr>
      </w:pPr>
    </w:p>
    <w:p w14:paraId="60BC894F" w14:textId="032D278C" w:rsidR="0042736F" w:rsidRPr="00F641C3" w:rsidRDefault="0042736F" w:rsidP="007327A7">
      <w:pPr>
        <w:spacing w:after="160" w:line="259" w:lineRule="auto"/>
        <w:jc w:val="both"/>
        <w:rPr>
          <w:rFonts w:ascii="Tahoma" w:hAnsi="Tahoma" w:cs="Tahoma"/>
          <w:b/>
          <w:sz w:val="22"/>
          <w:szCs w:val="22"/>
          <w:lang w:val="sr-Cyrl-RS"/>
        </w:rPr>
      </w:pPr>
      <w:r w:rsidRPr="00315889">
        <w:rPr>
          <w:rFonts w:ascii="Tahoma" w:hAnsi="Tahoma" w:cs="Tahoma"/>
          <w:b/>
          <w:color w:val="2F5496" w:themeColor="accent1" w:themeShade="BF"/>
          <w:sz w:val="22"/>
          <w:szCs w:val="22"/>
          <w:lang w:val="sr-Cyrl-RS"/>
        </w:rPr>
        <w:lastRenderedPageBreak/>
        <w:t xml:space="preserve">Додатак за помоћ и негу примало је </w:t>
      </w:r>
      <w:r w:rsidR="008262E3">
        <w:rPr>
          <w:rFonts w:ascii="Tahoma" w:hAnsi="Tahoma" w:cs="Tahoma"/>
          <w:b/>
          <w:color w:val="2F5496" w:themeColor="accent1" w:themeShade="BF"/>
          <w:sz w:val="22"/>
          <w:szCs w:val="22"/>
          <w:lang w:val="sr-Cyrl-RS"/>
        </w:rPr>
        <w:t>128</w:t>
      </w:r>
      <w:r w:rsidRPr="00315889">
        <w:rPr>
          <w:rFonts w:ascii="Tahoma" w:hAnsi="Tahoma" w:cs="Tahoma"/>
          <w:b/>
          <w:color w:val="2F5496" w:themeColor="accent1" w:themeShade="BF"/>
          <w:sz w:val="22"/>
          <w:szCs w:val="22"/>
          <w:lang w:val="sr-Cyrl-RS"/>
        </w:rPr>
        <w:t xml:space="preserve"> становн</w:t>
      </w:r>
      <w:r w:rsidR="00154516" w:rsidRPr="00315889">
        <w:rPr>
          <w:rFonts w:ascii="Tahoma" w:hAnsi="Tahoma" w:cs="Tahoma"/>
          <w:b/>
          <w:color w:val="2F5496" w:themeColor="accent1" w:themeShade="BF"/>
          <w:sz w:val="22"/>
          <w:szCs w:val="22"/>
          <w:lang w:val="sr-Cyrl-RS"/>
        </w:rPr>
        <w:t xml:space="preserve">ика </w:t>
      </w:r>
      <w:r w:rsidR="00EE1307">
        <w:rPr>
          <w:rFonts w:ascii="Tahoma" w:hAnsi="Tahoma" w:cs="Tahoma"/>
          <w:b/>
          <w:color w:val="2F5496" w:themeColor="accent1" w:themeShade="BF"/>
          <w:sz w:val="22"/>
          <w:szCs w:val="22"/>
          <w:lang w:val="sr-Cyrl-RS"/>
        </w:rPr>
        <w:t>Смедеревске Паланке</w:t>
      </w:r>
      <w:r w:rsidRPr="00315889">
        <w:rPr>
          <w:rFonts w:ascii="Tahoma" w:hAnsi="Tahoma" w:cs="Tahoma"/>
          <w:b/>
          <w:color w:val="2F5496" w:themeColor="accent1" w:themeShade="BF"/>
          <w:sz w:val="22"/>
          <w:szCs w:val="22"/>
          <w:lang w:val="sr-Cyrl-RS"/>
        </w:rPr>
        <w:t xml:space="preserve">, а увећани додатак </w:t>
      </w:r>
      <w:r w:rsidR="008262E3">
        <w:rPr>
          <w:rFonts w:ascii="Tahoma" w:hAnsi="Tahoma" w:cs="Tahoma"/>
          <w:b/>
          <w:color w:val="2F5496" w:themeColor="accent1" w:themeShade="BF"/>
          <w:sz w:val="22"/>
          <w:szCs w:val="22"/>
          <w:lang w:val="sr-Cyrl-RS"/>
        </w:rPr>
        <w:t>229</w:t>
      </w:r>
      <w:r w:rsidR="002B609A" w:rsidRPr="00315889">
        <w:rPr>
          <w:rFonts w:ascii="Tahoma" w:hAnsi="Tahoma" w:cs="Tahoma"/>
          <w:b/>
          <w:color w:val="2F5496" w:themeColor="accent1" w:themeShade="BF"/>
          <w:sz w:val="22"/>
          <w:szCs w:val="22"/>
          <w:lang w:val="sr-Cyrl-RS"/>
        </w:rPr>
        <w:t xml:space="preserve"> </w:t>
      </w:r>
      <w:r w:rsidRPr="00315889">
        <w:rPr>
          <w:rFonts w:ascii="Tahoma" w:hAnsi="Tahoma" w:cs="Tahoma"/>
          <w:b/>
          <w:color w:val="2F5496" w:themeColor="accent1" w:themeShade="BF"/>
          <w:sz w:val="22"/>
          <w:szCs w:val="22"/>
          <w:lang w:val="sr-Cyrl-RS"/>
        </w:rPr>
        <w:t>(Табела 4). Током година број корисника</w:t>
      </w:r>
      <w:r w:rsidR="00DE6103" w:rsidRPr="00315889">
        <w:rPr>
          <w:rFonts w:ascii="Tahoma" w:hAnsi="Tahoma" w:cs="Tahoma"/>
          <w:b/>
          <w:color w:val="2F5496" w:themeColor="accent1" w:themeShade="BF"/>
          <w:sz w:val="22"/>
          <w:szCs w:val="22"/>
          <w:lang w:val="sr-Latn-RS"/>
        </w:rPr>
        <w:t xml:space="preserve"> </w:t>
      </w:r>
      <w:r w:rsidR="008262E3">
        <w:rPr>
          <w:rFonts w:ascii="Tahoma" w:hAnsi="Tahoma" w:cs="Tahoma"/>
          <w:b/>
          <w:color w:val="2F5496" w:themeColor="accent1" w:themeShade="BF"/>
          <w:sz w:val="22"/>
          <w:szCs w:val="22"/>
          <w:lang w:val="sr-Cyrl-RS"/>
        </w:rPr>
        <w:t>се није значајно мењао</w:t>
      </w:r>
      <w:r w:rsidR="00736B96" w:rsidRPr="00F641C3">
        <w:rPr>
          <w:rFonts w:ascii="Tahoma" w:hAnsi="Tahoma" w:cs="Tahoma"/>
          <w:b/>
          <w:sz w:val="22"/>
          <w:szCs w:val="22"/>
          <w:lang w:val="sr-Cyrl-RS"/>
        </w:rPr>
        <w:t>.</w:t>
      </w:r>
      <w:r w:rsidR="00736B96" w:rsidRPr="00F641C3">
        <w:rPr>
          <w:rFonts w:ascii="Tahoma" w:hAnsi="Tahoma" w:cs="Tahoma"/>
          <w:b/>
          <w:sz w:val="22"/>
          <w:szCs w:val="22"/>
          <w:highlight w:val="green"/>
          <w:lang w:val="sr-Cyrl-RS"/>
        </w:rPr>
        <w:t xml:space="preserve"> </w:t>
      </w:r>
    </w:p>
    <w:p w14:paraId="3BEC9250" w14:textId="024B255C" w:rsidR="0042736F" w:rsidRPr="00675EF5" w:rsidRDefault="0042736F" w:rsidP="007327A7">
      <w:pPr>
        <w:spacing w:after="160" w:line="259" w:lineRule="auto"/>
        <w:jc w:val="both"/>
        <w:rPr>
          <w:rFonts w:ascii="Tahoma" w:hAnsi="Tahoma" w:cs="Tahoma"/>
          <w:bCs/>
          <w:sz w:val="22"/>
          <w:szCs w:val="22"/>
          <w:lang w:val="sr-Cyrl-RS"/>
        </w:rPr>
      </w:pPr>
      <w:r w:rsidRPr="00675EF5">
        <w:rPr>
          <w:rFonts w:ascii="Tahoma" w:hAnsi="Tahoma" w:cs="Tahoma"/>
          <w:bCs/>
          <w:sz w:val="22"/>
          <w:szCs w:val="22"/>
          <w:lang w:val="sr-Cyrl-RS"/>
        </w:rPr>
        <w:t xml:space="preserve">Обухват становништва додатком за помоћ и негу </w:t>
      </w:r>
      <w:r w:rsidR="002B609A">
        <w:rPr>
          <w:rFonts w:ascii="Tahoma" w:hAnsi="Tahoma" w:cs="Tahoma"/>
          <w:bCs/>
          <w:sz w:val="22"/>
          <w:szCs w:val="22"/>
          <w:lang w:val="sr-Cyrl-RS"/>
        </w:rPr>
        <w:t xml:space="preserve">и увећаног додатка </w:t>
      </w:r>
      <w:r w:rsidRPr="00675EF5">
        <w:rPr>
          <w:rFonts w:ascii="Tahoma" w:hAnsi="Tahoma" w:cs="Tahoma"/>
          <w:bCs/>
          <w:sz w:val="22"/>
          <w:szCs w:val="22"/>
          <w:lang w:val="sr-Cyrl-RS"/>
        </w:rPr>
        <w:t>је приближно на нивоу просека Србиј</w:t>
      </w:r>
      <w:r w:rsidR="002B609A">
        <w:rPr>
          <w:rFonts w:ascii="Tahoma" w:hAnsi="Tahoma" w:cs="Tahoma"/>
          <w:bCs/>
          <w:sz w:val="22"/>
          <w:szCs w:val="22"/>
          <w:lang w:val="sr-Cyrl-RS"/>
        </w:rPr>
        <w:t>а-југ.</w:t>
      </w:r>
      <w:r w:rsidRPr="00675EF5">
        <w:rPr>
          <w:rFonts w:ascii="Tahoma" w:hAnsi="Tahoma" w:cs="Tahoma"/>
          <w:bCs/>
          <w:sz w:val="22"/>
          <w:szCs w:val="22"/>
          <w:lang w:val="sr-Cyrl-RS"/>
        </w:rPr>
        <w:t xml:space="preserve"> Обухват додатком за помоћ и негу се не разликује </w:t>
      </w:r>
      <w:r w:rsidR="004A77CA">
        <w:rPr>
          <w:rFonts w:ascii="Tahoma" w:hAnsi="Tahoma" w:cs="Tahoma"/>
          <w:bCs/>
          <w:sz w:val="22"/>
          <w:szCs w:val="22"/>
          <w:lang w:val="sr-Cyrl-RS"/>
        </w:rPr>
        <w:t xml:space="preserve">значајније </w:t>
      </w:r>
      <w:r w:rsidRPr="00675EF5">
        <w:rPr>
          <w:rFonts w:ascii="Tahoma" w:hAnsi="Tahoma" w:cs="Tahoma"/>
          <w:bCs/>
          <w:sz w:val="22"/>
          <w:szCs w:val="22"/>
          <w:lang w:val="sr-Cyrl-RS"/>
        </w:rPr>
        <w:t>у односу на просек Србиј</w:t>
      </w:r>
      <w:r w:rsidR="002B609A">
        <w:rPr>
          <w:rFonts w:ascii="Tahoma" w:hAnsi="Tahoma" w:cs="Tahoma"/>
          <w:bCs/>
          <w:sz w:val="22"/>
          <w:szCs w:val="22"/>
          <w:lang w:val="sr-Cyrl-RS"/>
        </w:rPr>
        <w:t>а-југ</w:t>
      </w:r>
      <w:r w:rsidRPr="00675EF5">
        <w:rPr>
          <w:rFonts w:ascii="Tahoma" w:hAnsi="Tahoma" w:cs="Tahoma"/>
          <w:bCs/>
          <w:sz w:val="22"/>
          <w:szCs w:val="22"/>
          <w:lang w:val="sr-Cyrl-RS"/>
        </w:rPr>
        <w:t xml:space="preserve"> ни за поједине старосне групе</w:t>
      </w:r>
      <w:r w:rsidR="008262E3">
        <w:rPr>
          <w:rFonts w:ascii="Tahoma" w:hAnsi="Tahoma" w:cs="Tahoma"/>
          <w:bCs/>
          <w:sz w:val="22"/>
          <w:szCs w:val="22"/>
          <w:lang w:val="sr-Cyrl-RS"/>
        </w:rPr>
        <w:t>, једино је нешто већи за децу</w:t>
      </w:r>
      <w:r w:rsidRPr="00675EF5">
        <w:rPr>
          <w:rFonts w:ascii="Tahoma" w:hAnsi="Tahoma" w:cs="Tahoma"/>
          <w:bCs/>
          <w:sz w:val="22"/>
          <w:szCs w:val="22"/>
          <w:lang w:val="sr-Cyrl-RS"/>
        </w:rPr>
        <w:t xml:space="preserve"> (Табела 4). Треба међутим имати у виду и да део становника право на помоћ и негу остварује преко ПИО фонда, те да је за адекватно поређење потребно да се имају у виду и ти подаци (Бокс 3).</w:t>
      </w:r>
      <w:r w:rsidR="001A25A2">
        <w:rPr>
          <w:rFonts w:ascii="Tahoma" w:hAnsi="Tahoma" w:cs="Tahoma"/>
          <w:bCs/>
          <w:sz w:val="22"/>
          <w:szCs w:val="22"/>
          <w:lang w:val="sr-Cyrl-RS"/>
        </w:rPr>
        <w:t xml:space="preserve"> </w:t>
      </w:r>
    </w:p>
    <w:p w14:paraId="08BC1D96" w14:textId="4FF63148" w:rsidR="005A1B51" w:rsidRPr="00EC5967" w:rsidRDefault="0042736F" w:rsidP="007327A7">
      <w:pPr>
        <w:spacing w:after="160" w:line="259" w:lineRule="auto"/>
        <w:jc w:val="both"/>
        <w:rPr>
          <w:rFonts w:ascii="Tahoma" w:hAnsi="Tahoma" w:cs="Tahoma"/>
          <w:color w:val="2F5496"/>
          <w:sz w:val="22"/>
          <w:szCs w:val="22"/>
          <w:lang w:val="sr-Cyrl-RS"/>
        </w:rPr>
      </w:pPr>
      <w:r w:rsidRPr="00171A39">
        <w:rPr>
          <w:rFonts w:ascii="Tahoma" w:hAnsi="Tahoma" w:cs="Tahoma"/>
          <w:color w:val="2F5496"/>
          <w:sz w:val="22"/>
          <w:szCs w:val="22"/>
          <w:lang w:val="sr-Cyrl-RS"/>
        </w:rPr>
        <w:t xml:space="preserve">Табела 4. </w:t>
      </w:r>
      <w:r w:rsidR="00675EF5" w:rsidRPr="00171A39">
        <w:rPr>
          <w:rFonts w:ascii="Tahoma" w:hAnsi="Tahoma" w:cs="Tahoma"/>
          <w:color w:val="2F5496"/>
          <w:sz w:val="22"/>
          <w:szCs w:val="22"/>
          <w:lang w:val="sr-Cyrl-RS"/>
        </w:rPr>
        <w:t>Корисници</w:t>
      </w:r>
      <w:r w:rsidRPr="00171A39">
        <w:rPr>
          <w:rFonts w:ascii="Tahoma" w:hAnsi="Tahoma" w:cs="Tahoma"/>
          <w:color w:val="2F5496"/>
          <w:sz w:val="22"/>
          <w:szCs w:val="22"/>
          <w:lang w:val="sr-Cyrl-RS"/>
        </w:rPr>
        <w:t xml:space="preserve"> додатка за помоћ и негу и увећаног додатка за помоћ и негу,</w:t>
      </w:r>
      <w:r w:rsidR="00171A39">
        <w:rPr>
          <w:rFonts w:ascii="Tahoma" w:hAnsi="Tahoma" w:cs="Tahoma"/>
          <w:color w:val="2F5496"/>
          <w:sz w:val="22"/>
          <w:szCs w:val="22"/>
          <w:lang w:val="sr-Cyrl-RS"/>
        </w:rPr>
        <w:t xml:space="preserve"> </w:t>
      </w:r>
      <w:r w:rsidRPr="00171A39">
        <w:rPr>
          <w:rFonts w:ascii="Tahoma" w:hAnsi="Tahoma" w:cs="Tahoma"/>
          <w:color w:val="2F5496"/>
          <w:sz w:val="22"/>
          <w:szCs w:val="22"/>
          <w:lang w:val="sr-Cyrl-RS"/>
        </w:rPr>
        <w:t>20</w:t>
      </w:r>
      <w:r w:rsidR="009F6B72">
        <w:rPr>
          <w:rFonts w:ascii="Tahoma" w:hAnsi="Tahoma" w:cs="Tahoma"/>
          <w:color w:val="2F5496"/>
          <w:sz w:val="22"/>
          <w:szCs w:val="22"/>
          <w:lang w:val="sr-Latn-RS"/>
        </w:rPr>
        <w:t>20</w:t>
      </w:r>
      <w:r w:rsidRPr="00171A39">
        <w:rPr>
          <w:rFonts w:ascii="Tahoma" w:hAnsi="Tahoma" w:cs="Tahoma"/>
          <w:color w:val="2F5496"/>
          <w:sz w:val="22"/>
          <w:szCs w:val="22"/>
          <w:lang w:val="sr-Cyrl-RS"/>
        </w:rPr>
        <w:t>.</w:t>
      </w:r>
    </w:p>
    <w:tbl>
      <w:tblPr>
        <w:tblStyle w:val="GridTable5Dark-Accent51"/>
        <w:tblpPr w:leftFromText="180" w:rightFromText="180" w:vertAnchor="text" w:horzAnchor="margin" w:tblpX="-10" w:tblpY="4"/>
        <w:tblW w:w="9367" w:type="dxa"/>
        <w:tblLayout w:type="fixed"/>
        <w:tblLook w:val="04A0" w:firstRow="1" w:lastRow="0" w:firstColumn="1" w:lastColumn="0" w:noHBand="0" w:noVBand="1"/>
      </w:tblPr>
      <w:tblGrid>
        <w:gridCol w:w="4106"/>
        <w:gridCol w:w="1276"/>
        <w:gridCol w:w="1701"/>
        <w:gridCol w:w="2284"/>
      </w:tblGrid>
      <w:tr w:rsidR="001B6251" w:rsidRPr="00361404" w14:paraId="79DFB44A" w14:textId="77777777" w:rsidTr="00624B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vMerge w:val="restart"/>
            <w:tcBorders>
              <w:right w:val="single" w:sz="4" w:space="0" w:color="FFFFFF" w:themeColor="background1"/>
            </w:tcBorders>
            <w:shd w:val="clear" w:color="auto" w:fill="2F5496" w:themeFill="accent1" w:themeFillShade="BF"/>
          </w:tcPr>
          <w:p w14:paraId="1C8564BD" w14:textId="77777777" w:rsidR="001B6251" w:rsidRPr="00361404" w:rsidRDefault="001B6251" w:rsidP="00624B5E">
            <w:pPr>
              <w:spacing w:after="160" w:line="259" w:lineRule="auto"/>
              <w:jc w:val="both"/>
              <w:rPr>
                <w:rFonts w:ascii="Tahoma" w:hAnsi="Tahoma" w:cs="Tahoma"/>
                <w:sz w:val="21"/>
                <w:szCs w:val="21"/>
                <w:lang w:val="sr-Cyrl-RS"/>
              </w:rPr>
            </w:pPr>
          </w:p>
        </w:tc>
        <w:tc>
          <w:tcPr>
            <w:tcW w:w="2977" w:type="dxa"/>
            <w:gridSpan w:val="2"/>
            <w:tcBorders>
              <w:left w:val="single" w:sz="4" w:space="0" w:color="FFFFFF" w:themeColor="background1"/>
              <w:right w:val="single" w:sz="4" w:space="0" w:color="FFFFFF" w:themeColor="background1"/>
            </w:tcBorders>
            <w:shd w:val="clear" w:color="auto" w:fill="2F5496" w:themeFill="accent1" w:themeFillShade="BF"/>
            <w:vAlign w:val="center"/>
          </w:tcPr>
          <w:p w14:paraId="4476653A" w14:textId="709AE106" w:rsidR="001B6251" w:rsidRPr="00361404" w:rsidRDefault="00557B9C" w:rsidP="00B03126">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sz w:val="21"/>
                <w:szCs w:val="21"/>
                <w:lang w:val="sr-Cyrl-RS"/>
              </w:rPr>
            </w:pPr>
            <w:r>
              <w:rPr>
                <w:rFonts w:ascii="Tahoma" w:hAnsi="Tahoma" w:cs="Tahoma"/>
                <w:sz w:val="21"/>
                <w:szCs w:val="21"/>
                <w:lang w:val="sr-Cyrl-RS"/>
              </w:rPr>
              <w:t>Смедеревска Паланка</w:t>
            </w:r>
          </w:p>
        </w:tc>
        <w:tc>
          <w:tcPr>
            <w:tcW w:w="2284" w:type="dxa"/>
            <w:vMerge w:val="restart"/>
            <w:tcBorders>
              <w:left w:val="single" w:sz="4" w:space="0" w:color="FFFFFF" w:themeColor="background1"/>
            </w:tcBorders>
            <w:shd w:val="clear" w:color="auto" w:fill="2F5496" w:themeFill="accent1" w:themeFillShade="BF"/>
            <w:vAlign w:val="center"/>
          </w:tcPr>
          <w:p w14:paraId="0D162F40" w14:textId="77777777" w:rsidR="001B6251" w:rsidRDefault="001B6251" w:rsidP="00B03126">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1"/>
                <w:szCs w:val="21"/>
                <w:lang w:val="sr-Cyrl-RS"/>
              </w:rPr>
            </w:pPr>
            <w:r>
              <w:rPr>
                <w:rFonts w:ascii="Tahoma" w:hAnsi="Tahoma" w:cs="Tahoma"/>
                <w:sz w:val="21"/>
                <w:szCs w:val="21"/>
                <w:lang w:val="sr-Cyrl-RS"/>
              </w:rPr>
              <w:t>Србија-југ</w:t>
            </w:r>
          </w:p>
          <w:p w14:paraId="271F612D" w14:textId="77777777" w:rsidR="001B6251" w:rsidRPr="00361404" w:rsidRDefault="001B6251" w:rsidP="00B03126">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sz w:val="21"/>
                <w:szCs w:val="21"/>
                <w:lang w:val="sr-Cyrl-RS"/>
              </w:rPr>
            </w:pPr>
            <w:r>
              <w:rPr>
                <w:rFonts w:ascii="Tahoma" w:hAnsi="Tahoma" w:cs="Tahoma"/>
                <w:sz w:val="21"/>
                <w:szCs w:val="21"/>
                <w:lang w:val="sr-Cyrl-RS"/>
              </w:rPr>
              <w:t>(удео)</w:t>
            </w:r>
          </w:p>
        </w:tc>
      </w:tr>
      <w:tr w:rsidR="001B6251" w:rsidRPr="00361404" w14:paraId="04B326B9" w14:textId="77777777" w:rsidTr="00624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vMerge/>
            <w:tcBorders>
              <w:right w:val="single" w:sz="4" w:space="0" w:color="FFFFFF" w:themeColor="background1"/>
            </w:tcBorders>
            <w:shd w:val="clear" w:color="auto" w:fill="2F5496"/>
          </w:tcPr>
          <w:p w14:paraId="16147CE3" w14:textId="77777777" w:rsidR="001B6251" w:rsidRPr="00D71E03" w:rsidRDefault="001B6251" w:rsidP="00624B5E">
            <w:pPr>
              <w:spacing w:after="160" w:line="259" w:lineRule="auto"/>
              <w:jc w:val="both"/>
              <w:rPr>
                <w:rFonts w:ascii="Tahoma" w:hAnsi="Tahoma" w:cs="Tahoma"/>
                <w:b w:val="0"/>
                <w:bCs w:val="0"/>
                <w:sz w:val="21"/>
                <w:szCs w:val="21"/>
                <w:lang w:val="sr-Cyrl-RS"/>
              </w:rPr>
            </w:pPr>
          </w:p>
        </w:tc>
        <w:tc>
          <w:tcPr>
            <w:tcW w:w="1276" w:type="dxa"/>
            <w:tcBorders>
              <w:left w:val="single" w:sz="4" w:space="0" w:color="FFFFFF" w:themeColor="background1"/>
            </w:tcBorders>
            <w:shd w:val="clear" w:color="auto" w:fill="2F5496"/>
            <w:vAlign w:val="center"/>
          </w:tcPr>
          <w:p w14:paraId="2B07C9A3" w14:textId="58B40CAE" w:rsidR="001B6251" w:rsidRPr="00D71E03" w:rsidRDefault="00B96B8D" w:rsidP="00624B5E">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b/>
                <w:bCs/>
                <w:color w:val="FFFFFF" w:themeColor="background1"/>
                <w:sz w:val="21"/>
                <w:szCs w:val="21"/>
                <w:lang w:val="sr-Cyrl-RS"/>
              </w:rPr>
            </w:pPr>
            <w:r>
              <w:rPr>
                <w:rFonts w:ascii="Tahoma" w:hAnsi="Tahoma" w:cs="Tahoma"/>
                <w:b/>
                <w:bCs/>
                <w:color w:val="FFFFFF" w:themeColor="background1"/>
                <w:sz w:val="21"/>
                <w:szCs w:val="21"/>
                <w:lang w:val="sr-Cyrl-RS"/>
              </w:rPr>
              <w:t>б</w:t>
            </w:r>
            <w:r w:rsidR="001B6251">
              <w:rPr>
                <w:rFonts w:ascii="Tahoma" w:hAnsi="Tahoma" w:cs="Tahoma"/>
                <w:b/>
                <w:bCs/>
                <w:color w:val="FFFFFF" w:themeColor="background1"/>
                <w:sz w:val="21"/>
                <w:szCs w:val="21"/>
                <w:lang w:val="sr-Cyrl-RS"/>
              </w:rPr>
              <w:t>рој</w:t>
            </w:r>
          </w:p>
        </w:tc>
        <w:tc>
          <w:tcPr>
            <w:tcW w:w="1701" w:type="dxa"/>
            <w:tcBorders>
              <w:right w:val="single" w:sz="4" w:space="0" w:color="FFFFFF" w:themeColor="background1"/>
            </w:tcBorders>
            <w:shd w:val="clear" w:color="auto" w:fill="2F5496"/>
            <w:vAlign w:val="center"/>
          </w:tcPr>
          <w:p w14:paraId="64CF3C64" w14:textId="49E1781F" w:rsidR="001B6251" w:rsidRPr="00D71E03" w:rsidRDefault="00B96B8D" w:rsidP="00624B5E">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b/>
                <w:bCs/>
                <w:color w:val="FFFFFF" w:themeColor="background1"/>
                <w:sz w:val="21"/>
                <w:szCs w:val="21"/>
                <w:lang w:val="sr-Cyrl-RS"/>
              </w:rPr>
            </w:pPr>
            <w:r>
              <w:rPr>
                <w:rFonts w:ascii="Tahoma" w:hAnsi="Tahoma" w:cs="Tahoma"/>
                <w:b/>
                <w:bCs/>
                <w:color w:val="FFFFFF" w:themeColor="background1"/>
                <w:sz w:val="21"/>
                <w:szCs w:val="21"/>
                <w:lang w:val="sr-Cyrl-RS"/>
              </w:rPr>
              <w:t>у</w:t>
            </w:r>
            <w:r w:rsidR="001B6251">
              <w:rPr>
                <w:rFonts w:ascii="Tahoma" w:hAnsi="Tahoma" w:cs="Tahoma"/>
                <w:b/>
                <w:bCs/>
                <w:color w:val="FFFFFF" w:themeColor="background1"/>
                <w:sz w:val="21"/>
                <w:szCs w:val="21"/>
                <w:lang w:val="sr-Cyrl-RS"/>
              </w:rPr>
              <w:t>део</w:t>
            </w:r>
          </w:p>
        </w:tc>
        <w:tc>
          <w:tcPr>
            <w:tcW w:w="2284" w:type="dxa"/>
            <w:vMerge/>
            <w:tcBorders>
              <w:left w:val="single" w:sz="4" w:space="0" w:color="FFFFFF" w:themeColor="background1"/>
            </w:tcBorders>
            <w:shd w:val="clear" w:color="auto" w:fill="2F5496"/>
            <w:vAlign w:val="center"/>
          </w:tcPr>
          <w:p w14:paraId="7D4CC1C9" w14:textId="77777777" w:rsidR="001B6251" w:rsidRPr="00D71E03" w:rsidRDefault="001B6251" w:rsidP="00624B5E">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b/>
                <w:bCs/>
                <w:color w:val="FFFFFF" w:themeColor="background1"/>
                <w:sz w:val="21"/>
                <w:szCs w:val="21"/>
                <w:lang w:val="sr-Cyrl-RS"/>
              </w:rPr>
            </w:pPr>
          </w:p>
        </w:tc>
      </w:tr>
      <w:tr w:rsidR="001B6251" w:rsidRPr="00361404" w14:paraId="149D8FA1" w14:textId="77777777" w:rsidTr="00624B5E">
        <w:tc>
          <w:tcPr>
            <w:cnfStyle w:val="001000000000" w:firstRow="0" w:lastRow="0" w:firstColumn="1" w:lastColumn="0" w:oddVBand="0" w:evenVBand="0" w:oddHBand="0" w:evenHBand="0" w:firstRowFirstColumn="0" w:firstRowLastColumn="0" w:lastRowFirstColumn="0" w:lastRowLastColumn="0"/>
            <w:tcW w:w="4106" w:type="dxa"/>
            <w:shd w:val="clear" w:color="auto" w:fill="D9E2F3" w:themeFill="accent1" w:themeFillTint="33"/>
          </w:tcPr>
          <w:p w14:paraId="67E12D7E" w14:textId="77777777" w:rsidR="001B6251" w:rsidRPr="00B02F97" w:rsidRDefault="001B6251" w:rsidP="00624B5E">
            <w:pPr>
              <w:spacing w:after="160" w:line="259" w:lineRule="auto"/>
              <w:jc w:val="both"/>
              <w:rPr>
                <w:rFonts w:ascii="Tahoma" w:hAnsi="Tahoma" w:cs="Tahoma"/>
                <w:color w:val="1F3864" w:themeColor="accent1" w:themeShade="80"/>
                <w:sz w:val="21"/>
                <w:szCs w:val="21"/>
                <w:lang w:val="sr-Cyrl-RS"/>
              </w:rPr>
            </w:pPr>
            <w:r w:rsidRPr="00412F71">
              <w:rPr>
                <w:rFonts w:ascii="Tahoma" w:hAnsi="Tahoma" w:cs="Tahoma"/>
                <w:color w:val="1F3864" w:themeColor="accent1" w:themeShade="80"/>
                <w:sz w:val="21"/>
                <w:szCs w:val="21"/>
                <w:lang w:val="sr-Cyrl-RS"/>
              </w:rPr>
              <w:t>Основни додатак за помоћ и негу</w:t>
            </w:r>
          </w:p>
        </w:tc>
        <w:tc>
          <w:tcPr>
            <w:tcW w:w="1276" w:type="dxa"/>
            <w:shd w:val="clear" w:color="auto" w:fill="D9E2F3" w:themeFill="accent1" w:themeFillTint="33"/>
          </w:tcPr>
          <w:p w14:paraId="449B3402" w14:textId="2A4EAB57" w:rsidR="001B6251" w:rsidRPr="009E0B0C" w:rsidRDefault="00F3048F" w:rsidP="00B0312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rPr>
            </w:pPr>
            <w:r>
              <w:rPr>
                <w:rFonts w:ascii="Tahoma" w:hAnsi="Tahoma" w:cs="Tahoma"/>
                <w:sz w:val="21"/>
                <w:szCs w:val="21"/>
              </w:rPr>
              <w:t>128</w:t>
            </w:r>
          </w:p>
        </w:tc>
        <w:tc>
          <w:tcPr>
            <w:tcW w:w="1701" w:type="dxa"/>
            <w:shd w:val="clear" w:color="auto" w:fill="D9E2F3" w:themeFill="accent1" w:themeFillTint="33"/>
          </w:tcPr>
          <w:p w14:paraId="11270686" w14:textId="3AE8921A" w:rsidR="001B6251" w:rsidRPr="009E0B0C" w:rsidRDefault="00F3048F" w:rsidP="00B0312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rPr>
            </w:pPr>
            <w:r>
              <w:rPr>
                <w:rFonts w:ascii="Tahoma" w:hAnsi="Tahoma" w:cs="Tahoma"/>
                <w:sz w:val="21"/>
                <w:szCs w:val="21"/>
              </w:rPr>
              <w:t>0,4</w:t>
            </w:r>
          </w:p>
        </w:tc>
        <w:tc>
          <w:tcPr>
            <w:tcW w:w="2284" w:type="dxa"/>
            <w:shd w:val="clear" w:color="auto" w:fill="D9E2F3" w:themeFill="accent1" w:themeFillTint="33"/>
          </w:tcPr>
          <w:p w14:paraId="2131F555" w14:textId="77777777" w:rsidR="001B6251" w:rsidRPr="00412F71" w:rsidRDefault="001B6251" w:rsidP="00B0312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412F71">
              <w:rPr>
                <w:rFonts w:ascii="Tahoma" w:hAnsi="Tahoma" w:cs="Tahoma"/>
                <w:sz w:val="21"/>
                <w:szCs w:val="21"/>
              </w:rPr>
              <w:t>0,</w:t>
            </w:r>
            <w:r>
              <w:rPr>
                <w:rFonts w:ascii="Tahoma" w:hAnsi="Tahoma" w:cs="Tahoma"/>
                <w:sz w:val="21"/>
                <w:szCs w:val="21"/>
              </w:rPr>
              <w:t>3</w:t>
            </w:r>
          </w:p>
        </w:tc>
      </w:tr>
      <w:tr w:rsidR="001B6251" w:rsidRPr="00361404" w14:paraId="68DEBA57" w14:textId="77777777" w:rsidTr="00624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EDF1F9"/>
          </w:tcPr>
          <w:p w14:paraId="7B9BCD7B" w14:textId="77777777" w:rsidR="001B6251" w:rsidRPr="00412F71" w:rsidRDefault="001B6251" w:rsidP="00624B5E">
            <w:pPr>
              <w:spacing w:after="160" w:line="259" w:lineRule="auto"/>
              <w:jc w:val="both"/>
              <w:rPr>
                <w:rFonts w:ascii="Tahoma" w:hAnsi="Tahoma" w:cs="Tahoma"/>
                <w:b w:val="0"/>
                <w:bCs w:val="0"/>
                <w:i/>
                <w:iCs/>
                <w:color w:val="1F3864" w:themeColor="accent1" w:themeShade="80"/>
                <w:sz w:val="21"/>
                <w:szCs w:val="21"/>
                <w:lang w:val="sr-Cyrl-RS"/>
              </w:rPr>
            </w:pPr>
            <w:r w:rsidRPr="00412F71">
              <w:rPr>
                <w:rFonts w:ascii="Tahoma" w:hAnsi="Tahoma" w:cs="Tahoma"/>
                <w:b w:val="0"/>
                <w:bCs w:val="0"/>
                <w:i/>
                <w:iCs/>
                <w:color w:val="1F3864" w:themeColor="accent1" w:themeShade="80"/>
                <w:sz w:val="21"/>
                <w:szCs w:val="21"/>
                <w:lang w:val="sr-Cyrl-RS"/>
              </w:rPr>
              <w:t>0-17</w:t>
            </w:r>
          </w:p>
        </w:tc>
        <w:tc>
          <w:tcPr>
            <w:tcW w:w="1276" w:type="dxa"/>
            <w:shd w:val="clear" w:color="auto" w:fill="EDF1F9"/>
          </w:tcPr>
          <w:p w14:paraId="2326D827" w14:textId="4B459139" w:rsidR="001B6251" w:rsidRPr="009E0B0C" w:rsidRDefault="00F3048F" w:rsidP="00B0312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i/>
                <w:iCs/>
                <w:sz w:val="21"/>
                <w:szCs w:val="21"/>
              </w:rPr>
            </w:pPr>
            <w:r>
              <w:rPr>
                <w:rFonts w:ascii="Tahoma" w:hAnsi="Tahoma" w:cs="Tahoma"/>
                <w:i/>
                <w:iCs/>
                <w:sz w:val="21"/>
                <w:szCs w:val="21"/>
              </w:rPr>
              <w:t>41</w:t>
            </w:r>
          </w:p>
        </w:tc>
        <w:tc>
          <w:tcPr>
            <w:tcW w:w="1701" w:type="dxa"/>
            <w:shd w:val="clear" w:color="auto" w:fill="EDF1F9"/>
          </w:tcPr>
          <w:p w14:paraId="243F1C5F" w14:textId="135FA43D" w:rsidR="001B6251" w:rsidRPr="009E0B0C" w:rsidRDefault="00F3048F" w:rsidP="00B0312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i/>
                <w:iCs/>
                <w:sz w:val="21"/>
                <w:szCs w:val="21"/>
              </w:rPr>
            </w:pPr>
            <w:r>
              <w:rPr>
                <w:rFonts w:ascii="Tahoma" w:hAnsi="Tahoma" w:cs="Tahoma"/>
                <w:i/>
                <w:iCs/>
                <w:sz w:val="21"/>
                <w:szCs w:val="21"/>
              </w:rPr>
              <w:t>0,6</w:t>
            </w:r>
          </w:p>
        </w:tc>
        <w:tc>
          <w:tcPr>
            <w:tcW w:w="2284" w:type="dxa"/>
            <w:shd w:val="clear" w:color="auto" w:fill="EDF1F9"/>
          </w:tcPr>
          <w:p w14:paraId="243037F0" w14:textId="77777777" w:rsidR="001B6251" w:rsidRPr="00412F71" w:rsidRDefault="001B6251" w:rsidP="00B0312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i/>
                <w:iCs/>
                <w:sz w:val="21"/>
                <w:szCs w:val="21"/>
              </w:rPr>
            </w:pPr>
            <w:r w:rsidRPr="00412F71">
              <w:rPr>
                <w:rFonts w:ascii="Tahoma" w:hAnsi="Tahoma" w:cs="Tahoma"/>
                <w:i/>
                <w:iCs/>
                <w:sz w:val="21"/>
                <w:szCs w:val="21"/>
              </w:rPr>
              <w:t>0,</w:t>
            </w:r>
            <w:r>
              <w:rPr>
                <w:rFonts w:ascii="Tahoma" w:hAnsi="Tahoma" w:cs="Tahoma"/>
                <w:i/>
                <w:iCs/>
                <w:sz w:val="21"/>
                <w:szCs w:val="21"/>
              </w:rPr>
              <w:t>4</w:t>
            </w:r>
          </w:p>
        </w:tc>
      </w:tr>
      <w:tr w:rsidR="001B6251" w:rsidRPr="00361404" w14:paraId="46F04D91" w14:textId="77777777" w:rsidTr="00624B5E">
        <w:tc>
          <w:tcPr>
            <w:cnfStyle w:val="001000000000" w:firstRow="0" w:lastRow="0" w:firstColumn="1" w:lastColumn="0" w:oddVBand="0" w:evenVBand="0" w:oddHBand="0" w:evenHBand="0" w:firstRowFirstColumn="0" w:firstRowLastColumn="0" w:lastRowFirstColumn="0" w:lastRowLastColumn="0"/>
            <w:tcW w:w="4106" w:type="dxa"/>
            <w:shd w:val="clear" w:color="auto" w:fill="EDF1F9"/>
          </w:tcPr>
          <w:p w14:paraId="439F98BC" w14:textId="77777777" w:rsidR="001B6251" w:rsidRPr="00412F71" w:rsidRDefault="001B6251" w:rsidP="00624B5E">
            <w:pPr>
              <w:spacing w:after="160" w:line="259" w:lineRule="auto"/>
              <w:jc w:val="both"/>
              <w:rPr>
                <w:rFonts w:ascii="Tahoma" w:hAnsi="Tahoma" w:cs="Tahoma"/>
                <w:b w:val="0"/>
                <w:bCs w:val="0"/>
                <w:i/>
                <w:iCs/>
                <w:color w:val="1F3864" w:themeColor="accent1" w:themeShade="80"/>
                <w:sz w:val="21"/>
                <w:szCs w:val="21"/>
                <w:lang w:val="sr-Cyrl-RS"/>
              </w:rPr>
            </w:pPr>
            <w:r w:rsidRPr="00412F71">
              <w:rPr>
                <w:rFonts w:ascii="Tahoma" w:hAnsi="Tahoma" w:cs="Tahoma"/>
                <w:b w:val="0"/>
                <w:bCs w:val="0"/>
                <w:i/>
                <w:iCs/>
                <w:color w:val="1F3864" w:themeColor="accent1" w:themeShade="80"/>
                <w:sz w:val="21"/>
                <w:szCs w:val="21"/>
                <w:lang w:val="sr-Cyrl-RS"/>
              </w:rPr>
              <w:t>18-64</w:t>
            </w:r>
          </w:p>
        </w:tc>
        <w:tc>
          <w:tcPr>
            <w:tcW w:w="1276" w:type="dxa"/>
            <w:shd w:val="clear" w:color="auto" w:fill="EDF1F9"/>
          </w:tcPr>
          <w:p w14:paraId="5CB34B2C" w14:textId="42D86021" w:rsidR="001B6251" w:rsidRPr="009E0B0C" w:rsidRDefault="00F3048F" w:rsidP="00B0312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i/>
                <w:iCs/>
                <w:sz w:val="21"/>
                <w:szCs w:val="21"/>
              </w:rPr>
            </w:pPr>
            <w:r>
              <w:rPr>
                <w:rFonts w:ascii="Tahoma" w:hAnsi="Tahoma" w:cs="Tahoma"/>
                <w:i/>
                <w:iCs/>
                <w:sz w:val="21"/>
                <w:szCs w:val="21"/>
              </w:rPr>
              <w:t>40</w:t>
            </w:r>
          </w:p>
        </w:tc>
        <w:tc>
          <w:tcPr>
            <w:tcW w:w="1701" w:type="dxa"/>
            <w:shd w:val="clear" w:color="auto" w:fill="EDF1F9"/>
          </w:tcPr>
          <w:p w14:paraId="6557BFE2" w14:textId="71623CF9" w:rsidR="001B6251" w:rsidRPr="009E0B0C" w:rsidRDefault="00F3048F" w:rsidP="00B0312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i/>
                <w:iCs/>
                <w:sz w:val="21"/>
                <w:szCs w:val="21"/>
              </w:rPr>
            </w:pPr>
            <w:r>
              <w:rPr>
                <w:rFonts w:ascii="Tahoma" w:hAnsi="Tahoma" w:cs="Tahoma"/>
                <w:i/>
                <w:iCs/>
                <w:sz w:val="21"/>
                <w:szCs w:val="21"/>
              </w:rPr>
              <w:t>0,2</w:t>
            </w:r>
          </w:p>
        </w:tc>
        <w:tc>
          <w:tcPr>
            <w:tcW w:w="2284" w:type="dxa"/>
            <w:shd w:val="clear" w:color="auto" w:fill="EDF1F9"/>
          </w:tcPr>
          <w:p w14:paraId="72692654" w14:textId="77777777" w:rsidR="001B6251" w:rsidRPr="00412F71" w:rsidRDefault="001B6251" w:rsidP="00B0312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i/>
                <w:iCs/>
                <w:sz w:val="21"/>
                <w:szCs w:val="21"/>
              </w:rPr>
            </w:pPr>
            <w:r w:rsidRPr="00412F71">
              <w:rPr>
                <w:rFonts w:ascii="Tahoma" w:hAnsi="Tahoma" w:cs="Tahoma"/>
                <w:i/>
                <w:iCs/>
                <w:sz w:val="21"/>
                <w:szCs w:val="21"/>
              </w:rPr>
              <w:t>0,</w:t>
            </w:r>
            <w:r>
              <w:rPr>
                <w:rFonts w:ascii="Tahoma" w:hAnsi="Tahoma" w:cs="Tahoma"/>
                <w:i/>
                <w:iCs/>
                <w:sz w:val="21"/>
                <w:szCs w:val="21"/>
              </w:rPr>
              <w:t>2</w:t>
            </w:r>
          </w:p>
        </w:tc>
      </w:tr>
      <w:tr w:rsidR="001B6251" w:rsidRPr="00361404" w14:paraId="6AC33FFE" w14:textId="77777777" w:rsidTr="00624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EDF1F9"/>
          </w:tcPr>
          <w:p w14:paraId="0BDC80A1" w14:textId="77777777" w:rsidR="001B6251" w:rsidRPr="00412F71" w:rsidRDefault="001B6251" w:rsidP="00624B5E">
            <w:pPr>
              <w:spacing w:after="160" w:line="259" w:lineRule="auto"/>
              <w:jc w:val="both"/>
              <w:rPr>
                <w:rFonts w:ascii="Tahoma" w:hAnsi="Tahoma" w:cs="Tahoma"/>
                <w:b w:val="0"/>
                <w:bCs w:val="0"/>
                <w:i/>
                <w:iCs/>
                <w:color w:val="1F3864" w:themeColor="accent1" w:themeShade="80"/>
                <w:sz w:val="21"/>
                <w:szCs w:val="21"/>
                <w:lang w:val="sr-Cyrl-RS"/>
              </w:rPr>
            </w:pPr>
            <w:r>
              <w:rPr>
                <w:rFonts w:ascii="Tahoma" w:hAnsi="Tahoma" w:cs="Tahoma"/>
                <w:b w:val="0"/>
                <w:bCs w:val="0"/>
                <w:i/>
                <w:iCs/>
                <w:color w:val="1F3864" w:themeColor="accent1" w:themeShade="80"/>
                <w:sz w:val="21"/>
                <w:szCs w:val="21"/>
                <w:lang w:val="sr-Cyrl-RS"/>
              </w:rPr>
              <w:t>65+</w:t>
            </w:r>
          </w:p>
        </w:tc>
        <w:tc>
          <w:tcPr>
            <w:tcW w:w="1276" w:type="dxa"/>
            <w:shd w:val="clear" w:color="auto" w:fill="EDF1F9"/>
          </w:tcPr>
          <w:p w14:paraId="253F68DF" w14:textId="6C77F8FE" w:rsidR="001B6251" w:rsidRPr="009E0B0C" w:rsidRDefault="00F3048F" w:rsidP="00B0312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i/>
                <w:iCs/>
                <w:sz w:val="21"/>
                <w:szCs w:val="21"/>
              </w:rPr>
            </w:pPr>
            <w:r>
              <w:rPr>
                <w:rFonts w:ascii="Tahoma" w:hAnsi="Tahoma" w:cs="Tahoma"/>
                <w:i/>
                <w:iCs/>
                <w:sz w:val="21"/>
                <w:szCs w:val="21"/>
              </w:rPr>
              <w:t>47</w:t>
            </w:r>
          </w:p>
        </w:tc>
        <w:tc>
          <w:tcPr>
            <w:tcW w:w="1701" w:type="dxa"/>
            <w:shd w:val="clear" w:color="auto" w:fill="EDF1F9"/>
          </w:tcPr>
          <w:p w14:paraId="0CA6F853" w14:textId="65F2AC25" w:rsidR="001B6251" w:rsidRPr="009E0B0C" w:rsidRDefault="00F3048F" w:rsidP="00B0312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i/>
                <w:iCs/>
                <w:sz w:val="21"/>
                <w:szCs w:val="21"/>
              </w:rPr>
            </w:pPr>
            <w:r>
              <w:rPr>
                <w:rFonts w:ascii="Tahoma" w:hAnsi="Tahoma" w:cs="Tahoma"/>
                <w:i/>
                <w:iCs/>
                <w:sz w:val="21"/>
                <w:szCs w:val="21"/>
              </w:rPr>
              <w:t>0,4</w:t>
            </w:r>
          </w:p>
        </w:tc>
        <w:tc>
          <w:tcPr>
            <w:tcW w:w="2284" w:type="dxa"/>
            <w:shd w:val="clear" w:color="auto" w:fill="EDF1F9"/>
          </w:tcPr>
          <w:p w14:paraId="7C913C4D" w14:textId="77777777" w:rsidR="001B6251" w:rsidRPr="00412F71" w:rsidRDefault="001B6251" w:rsidP="00B0312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i/>
                <w:iCs/>
                <w:sz w:val="21"/>
                <w:szCs w:val="21"/>
              </w:rPr>
            </w:pPr>
            <w:r w:rsidRPr="00412F71">
              <w:rPr>
                <w:rFonts w:ascii="Tahoma" w:hAnsi="Tahoma" w:cs="Tahoma"/>
                <w:i/>
                <w:iCs/>
                <w:sz w:val="21"/>
                <w:szCs w:val="21"/>
              </w:rPr>
              <w:t>0,4</w:t>
            </w:r>
          </w:p>
        </w:tc>
      </w:tr>
      <w:tr w:rsidR="001B6251" w:rsidRPr="00361404" w14:paraId="777543B9" w14:textId="77777777" w:rsidTr="00624B5E">
        <w:tc>
          <w:tcPr>
            <w:cnfStyle w:val="001000000000" w:firstRow="0" w:lastRow="0" w:firstColumn="1" w:lastColumn="0" w:oddVBand="0" w:evenVBand="0" w:oddHBand="0" w:evenHBand="0" w:firstRowFirstColumn="0" w:firstRowLastColumn="0" w:lastRowFirstColumn="0" w:lastRowLastColumn="0"/>
            <w:tcW w:w="4106" w:type="dxa"/>
            <w:shd w:val="clear" w:color="auto" w:fill="B4C6E7" w:themeFill="accent1" w:themeFillTint="66"/>
          </w:tcPr>
          <w:p w14:paraId="5F7AF460" w14:textId="77777777" w:rsidR="001B6251" w:rsidRPr="00B02F97" w:rsidRDefault="001B6251" w:rsidP="00624B5E">
            <w:pPr>
              <w:spacing w:after="160" w:line="259" w:lineRule="auto"/>
              <w:jc w:val="both"/>
              <w:rPr>
                <w:rFonts w:ascii="Tahoma" w:hAnsi="Tahoma" w:cs="Tahoma"/>
                <w:color w:val="1F3864" w:themeColor="accent1" w:themeShade="80"/>
                <w:sz w:val="21"/>
                <w:szCs w:val="21"/>
                <w:lang w:val="sr-Cyrl-RS"/>
              </w:rPr>
            </w:pPr>
            <w:r w:rsidRPr="00412F71">
              <w:rPr>
                <w:rFonts w:ascii="Tahoma" w:hAnsi="Tahoma" w:cs="Tahoma"/>
                <w:color w:val="1F3864" w:themeColor="accent1" w:themeShade="80"/>
                <w:sz w:val="21"/>
                <w:szCs w:val="21"/>
                <w:lang w:val="sr-Cyrl-RS"/>
              </w:rPr>
              <w:t>Увећани додатак за помоћ и негу</w:t>
            </w:r>
          </w:p>
        </w:tc>
        <w:tc>
          <w:tcPr>
            <w:tcW w:w="1276" w:type="dxa"/>
            <w:shd w:val="clear" w:color="auto" w:fill="B4C6E7" w:themeFill="accent1" w:themeFillTint="66"/>
          </w:tcPr>
          <w:p w14:paraId="0AFDDF72" w14:textId="1F00E4D4" w:rsidR="001B6251" w:rsidRPr="00AD374D" w:rsidRDefault="00025929" w:rsidP="00B0312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rPr>
            </w:pPr>
            <w:r>
              <w:rPr>
                <w:rFonts w:ascii="Tahoma" w:hAnsi="Tahoma" w:cs="Tahoma"/>
                <w:sz w:val="21"/>
                <w:szCs w:val="21"/>
              </w:rPr>
              <w:t>229</w:t>
            </w:r>
          </w:p>
        </w:tc>
        <w:tc>
          <w:tcPr>
            <w:tcW w:w="1701" w:type="dxa"/>
            <w:shd w:val="clear" w:color="auto" w:fill="B4C6E7" w:themeFill="accent1" w:themeFillTint="66"/>
          </w:tcPr>
          <w:p w14:paraId="4871C05A" w14:textId="46DC44AF" w:rsidR="001B6251" w:rsidRPr="00AD374D" w:rsidRDefault="00025929" w:rsidP="00B0312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rPr>
            </w:pPr>
            <w:r>
              <w:rPr>
                <w:rFonts w:ascii="Tahoma" w:hAnsi="Tahoma" w:cs="Tahoma"/>
                <w:sz w:val="21"/>
                <w:szCs w:val="21"/>
              </w:rPr>
              <w:t>0,5</w:t>
            </w:r>
          </w:p>
        </w:tc>
        <w:tc>
          <w:tcPr>
            <w:tcW w:w="2284" w:type="dxa"/>
            <w:shd w:val="clear" w:color="auto" w:fill="B4C6E7" w:themeFill="accent1" w:themeFillTint="66"/>
          </w:tcPr>
          <w:p w14:paraId="4EED0F6A" w14:textId="77777777" w:rsidR="001B6251" w:rsidRPr="00412F71" w:rsidRDefault="001B6251" w:rsidP="00B0312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412F71">
              <w:rPr>
                <w:rFonts w:ascii="Tahoma" w:hAnsi="Tahoma" w:cs="Tahoma"/>
                <w:sz w:val="21"/>
                <w:szCs w:val="21"/>
              </w:rPr>
              <w:t>0,5</w:t>
            </w:r>
          </w:p>
        </w:tc>
      </w:tr>
    </w:tbl>
    <w:p w14:paraId="7BAE5EA3" w14:textId="1096DFBD" w:rsidR="00D71E03" w:rsidRPr="004655BE" w:rsidRDefault="00A92DA0" w:rsidP="007327A7">
      <w:pPr>
        <w:spacing w:after="160" w:line="259" w:lineRule="auto"/>
        <w:jc w:val="both"/>
        <w:rPr>
          <w:rFonts w:ascii="Tahoma" w:hAnsi="Tahoma" w:cs="Tahoma"/>
          <w:sz w:val="18"/>
          <w:szCs w:val="18"/>
        </w:rPr>
      </w:pPr>
      <w:r w:rsidRPr="00AF3C50">
        <w:rPr>
          <w:rFonts w:ascii="Tahoma" w:hAnsi="Tahoma" w:cs="Tahoma"/>
          <w:sz w:val="18"/>
          <w:szCs w:val="18"/>
          <w:lang w:val="sr-Cyrl-RS"/>
        </w:rPr>
        <w:t>Извор: ДевИнфо база</w:t>
      </w:r>
      <w:r>
        <w:rPr>
          <w:rFonts w:ascii="Tahoma" w:hAnsi="Tahoma" w:cs="Tahoma"/>
          <w:sz w:val="18"/>
          <w:szCs w:val="18"/>
        </w:rPr>
        <w:t>,</w:t>
      </w:r>
      <w:r w:rsidRPr="00AF3C50">
        <w:rPr>
          <w:rFonts w:ascii="Tahoma" w:hAnsi="Tahoma" w:cs="Tahoma"/>
          <w:sz w:val="18"/>
          <w:szCs w:val="18"/>
          <w:lang w:val="sr-Cyrl-RS"/>
        </w:rPr>
        <w:t xml:space="preserve"> Републички завод за статистику</w:t>
      </w:r>
      <w:r w:rsidR="00DE6103">
        <w:rPr>
          <w:rFonts w:ascii="Tahoma" w:hAnsi="Tahoma" w:cs="Tahoma"/>
          <w:sz w:val="18"/>
          <w:szCs w:val="18"/>
          <w:lang w:val="sr-Cyrl-RS"/>
        </w:rPr>
        <w:t>.</w:t>
      </w:r>
    </w:p>
    <w:p w14:paraId="775F782F" w14:textId="1C638A70" w:rsidR="0042736F" w:rsidRPr="00BA2399" w:rsidRDefault="00BB6956" w:rsidP="007327A7">
      <w:pPr>
        <w:shd w:val="clear" w:color="auto" w:fill="D9E2F3" w:themeFill="accent1" w:themeFillTint="33"/>
        <w:spacing w:after="160" w:line="259" w:lineRule="auto"/>
        <w:jc w:val="both"/>
        <w:rPr>
          <w:rFonts w:ascii="Tahoma" w:hAnsi="Tahoma" w:cs="Tahoma"/>
          <w:b/>
          <w:sz w:val="22"/>
          <w:szCs w:val="22"/>
          <w:lang w:val="sr-Cyrl-RS"/>
        </w:rPr>
      </w:pPr>
      <w:r w:rsidRPr="00BA2399">
        <w:rPr>
          <w:rFonts w:ascii="Tahoma" w:hAnsi="Tahoma" w:cs="Tahoma"/>
          <w:b/>
          <w:color w:val="1F3864" w:themeColor="accent1" w:themeShade="80"/>
          <w:sz w:val="22"/>
          <w:szCs w:val="22"/>
          <w:lang w:val="sr-Cyrl-RS"/>
        </w:rPr>
        <w:t>Б</w:t>
      </w:r>
      <w:r w:rsidR="00BA2399" w:rsidRPr="00BA2399">
        <w:rPr>
          <w:rFonts w:ascii="Tahoma" w:hAnsi="Tahoma" w:cs="Tahoma"/>
          <w:b/>
          <w:color w:val="1F3864" w:themeColor="accent1" w:themeShade="80"/>
          <w:sz w:val="22"/>
          <w:szCs w:val="22"/>
          <w:lang w:val="sr-Cyrl-RS"/>
        </w:rPr>
        <w:t xml:space="preserve">окс </w:t>
      </w:r>
      <w:r w:rsidR="0042736F" w:rsidRPr="00BA2399">
        <w:rPr>
          <w:rFonts w:ascii="Tahoma" w:hAnsi="Tahoma" w:cs="Tahoma"/>
          <w:b/>
          <w:color w:val="1F3864" w:themeColor="accent1" w:themeShade="80"/>
          <w:sz w:val="22"/>
          <w:szCs w:val="22"/>
          <w:lang w:val="sr-Cyrl-RS"/>
        </w:rPr>
        <w:t>3. Н</w:t>
      </w:r>
      <w:r w:rsidR="00BA2399" w:rsidRPr="00BA2399">
        <w:rPr>
          <w:rFonts w:ascii="Tahoma" w:hAnsi="Tahoma" w:cs="Tahoma"/>
          <w:b/>
          <w:color w:val="1F3864" w:themeColor="accent1" w:themeShade="80"/>
          <w:sz w:val="22"/>
          <w:szCs w:val="22"/>
          <w:lang w:val="sr-Cyrl-RS"/>
        </w:rPr>
        <w:t>едостаци анализе обухвата програмом додатка и увећаног додатка за помоћ и негу на локалном нивоу</w:t>
      </w:r>
    </w:p>
    <w:p w14:paraId="17C81177" w14:textId="5A70080E" w:rsidR="0042736F" w:rsidRDefault="00242040" w:rsidP="007327A7">
      <w:pPr>
        <w:shd w:val="clear" w:color="auto" w:fill="D9E2F3" w:themeFill="accent1" w:themeFillTint="33"/>
        <w:spacing w:after="160" w:line="259" w:lineRule="auto"/>
        <w:jc w:val="both"/>
        <w:rPr>
          <w:rFonts w:ascii="Tahoma" w:hAnsi="Tahoma" w:cs="Tahoma"/>
          <w:sz w:val="22"/>
          <w:szCs w:val="22"/>
          <w:lang w:val="sr-Cyrl-RS"/>
        </w:rPr>
      </w:pPr>
      <w:r w:rsidRPr="00BA2399">
        <w:rPr>
          <w:rFonts w:ascii="Tahoma" w:hAnsi="Tahoma" w:cs="Tahoma"/>
          <w:sz w:val="22"/>
          <w:szCs w:val="22"/>
          <w:lang w:val="sr-Cyrl-RS"/>
        </w:rPr>
        <w:t>З</w:t>
      </w:r>
      <w:r w:rsidR="00AF33B9" w:rsidRPr="00BA2399">
        <w:rPr>
          <w:rFonts w:ascii="Tahoma" w:hAnsi="Tahoma" w:cs="Tahoma"/>
          <w:sz w:val="22"/>
          <w:szCs w:val="22"/>
          <w:lang w:val="sr-Cyrl-RS"/>
        </w:rPr>
        <w:t xml:space="preserve">а добијање потпуне слике о обухвату рањивих група којима је неопходна помоћ другог лица ради обављања свакодневних активности неопходно је да се прикупе и подаци о накнади за помоћ и негу на коју имају право осигурана лица и пензионери. </w:t>
      </w:r>
      <w:r w:rsidR="00BA2399">
        <w:rPr>
          <w:rFonts w:ascii="Tahoma" w:hAnsi="Tahoma" w:cs="Tahoma"/>
          <w:sz w:val="22"/>
          <w:szCs w:val="22"/>
          <w:lang w:val="sr-Cyrl-RS"/>
        </w:rPr>
        <w:t>У</w:t>
      </w:r>
      <w:r w:rsidR="00AF33B9" w:rsidRPr="00BA2399">
        <w:rPr>
          <w:rFonts w:ascii="Tahoma" w:hAnsi="Tahoma" w:cs="Tahoma"/>
          <w:sz w:val="22"/>
          <w:szCs w:val="22"/>
          <w:lang w:val="sr-Cyrl-RS"/>
        </w:rPr>
        <w:t xml:space="preserve"> </w:t>
      </w:r>
      <w:r w:rsidR="00BA2399">
        <w:rPr>
          <w:rFonts w:ascii="Tahoma" w:hAnsi="Tahoma" w:cs="Tahoma"/>
          <w:sz w:val="22"/>
          <w:szCs w:val="22"/>
          <w:lang w:val="sr-Cyrl-RS"/>
        </w:rPr>
        <w:t xml:space="preserve">ДевИнфо </w:t>
      </w:r>
      <w:r w:rsidR="00AF33B9" w:rsidRPr="00BA2399">
        <w:rPr>
          <w:rFonts w:ascii="Tahoma" w:hAnsi="Tahoma" w:cs="Tahoma"/>
          <w:sz w:val="22"/>
          <w:szCs w:val="22"/>
          <w:lang w:val="sr-Cyrl-RS"/>
        </w:rPr>
        <w:t xml:space="preserve">бази података ови подаци нису доступни. </w:t>
      </w:r>
      <w:r w:rsidR="00BA2399">
        <w:rPr>
          <w:rFonts w:ascii="Tahoma" w:hAnsi="Tahoma" w:cs="Tahoma"/>
          <w:sz w:val="22"/>
          <w:szCs w:val="22"/>
          <w:lang w:val="sr-Cyrl-RS"/>
        </w:rPr>
        <w:t>У</w:t>
      </w:r>
      <w:r w:rsidR="00AF33B9" w:rsidRPr="00BA2399">
        <w:rPr>
          <w:rFonts w:ascii="Tahoma" w:hAnsi="Tahoma" w:cs="Tahoma"/>
          <w:sz w:val="22"/>
          <w:szCs w:val="22"/>
          <w:lang w:val="sr-Cyrl-RS"/>
        </w:rPr>
        <w:t xml:space="preserve"> </w:t>
      </w:r>
      <w:r w:rsidR="00BA2399">
        <w:rPr>
          <w:rFonts w:ascii="Tahoma" w:hAnsi="Tahoma" w:cs="Tahoma"/>
          <w:sz w:val="22"/>
          <w:szCs w:val="22"/>
          <w:lang w:val="sr-Cyrl-RS"/>
        </w:rPr>
        <w:t>Р</w:t>
      </w:r>
      <w:r w:rsidR="00AF33B9" w:rsidRPr="00BA2399">
        <w:rPr>
          <w:rFonts w:ascii="Tahoma" w:hAnsi="Tahoma" w:cs="Tahoma"/>
          <w:sz w:val="22"/>
          <w:szCs w:val="22"/>
          <w:lang w:val="sr-Cyrl-RS"/>
        </w:rPr>
        <w:t xml:space="preserve">епублици </w:t>
      </w:r>
      <w:r w:rsidR="00BA2399">
        <w:rPr>
          <w:rFonts w:ascii="Tahoma" w:hAnsi="Tahoma" w:cs="Tahoma"/>
          <w:sz w:val="22"/>
          <w:szCs w:val="22"/>
          <w:lang w:val="sr-Cyrl-RS"/>
        </w:rPr>
        <w:t>С</w:t>
      </w:r>
      <w:r w:rsidR="00AF33B9" w:rsidRPr="00BA2399">
        <w:rPr>
          <w:rFonts w:ascii="Tahoma" w:hAnsi="Tahoma" w:cs="Tahoma"/>
          <w:sz w:val="22"/>
          <w:szCs w:val="22"/>
          <w:lang w:val="sr-Cyrl-RS"/>
        </w:rPr>
        <w:t>рбији је број корисника накнаде чак нешто већи од збира корисника додатка и увећаног додатка за помоћ и негу.</w:t>
      </w:r>
    </w:p>
    <w:p w14:paraId="16F1F2C1" w14:textId="77777777" w:rsidR="00A7631B" w:rsidRPr="00A7631B" w:rsidRDefault="00A7631B" w:rsidP="007327A7">
      <w:pPr>
        <w:shd w:val="clear" w:color="auto" w:fill="D9E2F3" w:themeFill="accent1" w:themeFillTint="33"/>
        <w:spacing w:after="160" w:line="259" w:lineRule="auto"/>
        <w:jc w:val="both"/>
        <w:rPr>
          <w:rFonts w:ascii="Tahoma" w:hAnsi="Tahoma" w:cs="Tahoma"/>
          <w:sz w:val="10"/>
          <w:szCs w:val="10"/>
          <w:lang w:val="sr-Cyrl-RS"/>
        </w:rPr>
      </w:pPr>
    </w:p>
    <w:p w14:paraId="76C14546" w14:textId="6D97C411" w:rsidR="00F6265A" w:rsidRPr="00631465" w:rsidRDefault="00FF6BC7" w:rsidP="007327A7">
      <w:pPr>
        <w:spacing w:after="160" w:line="259" w:lineRule="auto"/>
        <w:jc w:val="both"/>
        <w:rPr>
          <w:rFonts w:ascii="Tahoma" w:hAnsi="Tahoma" w:cs="Tahoma"/>
          <w:bCs/>
          <w:sz w:val="22"/>
          <w:szCs w:val="22"/>
          <w:lang w:val="sr-Cyrl-RS"/>
        </w:rPr>
      </w:pPr>
      <w:r w:rsidRPr="00315889">
        <w:rPr>
          <w:rFonts w:ascii="Tahoma" w:hAnsi="Tahoma" w:cs="Tahoma"/>
          <w:b/>
          <w:color w:val="2F5496" w:themeColor="accent1" w:themeShade="BF"/>
          <w:sz w:val="22"/>
          <w:szCs w:val="22"/>
          <w:lang w:val="sr-Cyrl-RS"/>
        </w:rPr>
        <w:t>Н</w:t>
      </w:r>
      <w:r w:rsidR="00F6265A" w:rsidRPr="00315889">
        <w:rPr>
          <w:rFonts w:ascii="Tahoma" w:hAnsi="Tahoma" w:cs="Tahoma"/>
          <w:b/>
          <w:color w:val="2F5496" w:themeColor="accent1" w:themeShade="BF"/>
          <w:sz w:val="22"/>
          <w:szCs w:val="22"/>
          <w:lang w:val="sr-Cyrl-RS"/>
        </w:rPr>
        <w:t>а смештају</w:t>
      </w:r>
      <w:r w:rsidRPr="00315889">
        <w:rPr>
          <w:rFonts w:ascii="Tahoma" w:hAnsi="Tahoma" w:cs="Tahoma"/>
          <w:b/>
          <w:color w:val="2F5496" w:themeColor="accent1" w:themeShade="BF"/>
          <w:sz w:val="22"/>
          <w:szCs w:val="22"/>
          <w:lang w:val="sr-Cyrl-RS"/>
        </w:rPr>
        <w:t xml:space="preserve"> је </w:t>
      </w:r>
      <w:r w:rsidR="008262E3">
        <w:rPr>
          <w:rFonts w:ascii="Tahoma" w:hAnsi="Tahoma" w:cs="Tahoma"/>
          <w:b/>
          <w:color w:val="2F5496" w:themeColor="accent1" w:themeShade="BF"/>
          <w:sz w:val="22"/>
          <w:szCs w:val="22"/>
          <w:lang w:val="sr-Cyrl-RS"/>
        </w:rPr>
        <w:t xml:space="preserve">68 </w:t>
      </w:r>
      <w:r w:rsidRPr="00315889">
        <w:rPr>
          <w:rFonts w:ascii="Tahoma" w:hAnsi="Tahoma" w:cs="Tahoma"/>
          <w:b/>
          <w:color w:val="2F5496" w:themeColor="accent1" w:themeShade="BF"/>
          <w:sz w:val="22"/>
          <w:szCs w:val="22"/>
          <w:lang w:val="sr-Cyrl-RS"/>
        </w:rPr>
        <w:t xml:space="preserve">деце из </w:t>
      </w:r>
      <w:r w:rsidR="008262E3">
        <w:rPr>
          <w:rFonts w:ascii="Tahoma" w:hAnsi="Tahoma" w:cs="Tahoma"/>
          <w:b/>
          <w:color w:val="2F5496" w:themeColor="accent1" w:themeShade="BF"/>
          <w:sz w:val="22"/>
          <w:szCs w:val="22"/>
          <w:lang w:val="sr-Cyrl-RS"/>
        </w:rPr>
        <w:t>Смедеревске Паланке</w:t>
      </w:r>
      <w:r w:rsidR="00F6265A" w:rsidRPr="00315889">
        <w:rPr>
          <w:rFonts w:ascii="Tahoma" w:hAnsi="Tahoma" w:cs="Tahoma"/>
          <w:b/>
          <w:color w:val="2F5496" w:themeColor="accent1" w:themeShade="BF"/>
          <w:sz w:val="22"/>
          <w:szCs w:val="22"/>
          <w:lang w:val="sr-Cyrl-RS"/>
        </w:rPr>
        <w:t xml:space="preserve">, </w:t>
      </w:r>
      <w:r w:rsidR="00D36025">
        <w:rPr>
          <w:rFonts w:ascii="Tahoma" w:hAnsi="Tahoma" w:cs="Tahoma"/>
          <w:b/>
          <w:color w:val="2F5496" w:themeColor="accent1" w:themeShade="BF"/>
          <w:sz w:val="22"/>
          <w:szCs w:val="22"/>
          <w:lang w:val="sr-Cyrl-RS"/>
        </w:rPr>
        <w:t xml:space="preserve">искључиво у </w:t>
      </w:r>
      <w:r w:rsidRPr="00315889">
        <w:rPr>
          <w:rFonts w:ascii="Tahoma" w:hAnsi="Tahoma" w:cs="Tahoma"/>
          <w:b/>
          <w:color w:val="2F5496" w:themeColor="accent1" w:themeShade="BF"/>
          <w:sz w:val="22"/>
          <w:szCs w:val="22"/>
          <w:lang w:val="sr-Cyrl-RS"/>
        </w:rPr>
        <w:t>хранитељским породицам</w:t>
      </w:r>
      <w:r w:rsidR="008262E3">
        <w:rPr>
          <w:rFonts w:ascii="Tahoma" w:hAnsi="Tahoma" w:cs="Tahoma"/>
          <w:b/>
          <w:color w:val="2F5496" w:themeColor="accent1" w:themeShade="BF"/>
          <w:sz w:val="22"/>
          <w:szCs w:val="22"/>
          <w:lang w:val="sr-Cyrl-RS"/>
        </w:rPr>
        <w:t>а</w:t>
      </w:r>
      <w:r w:rsidRPr="00315889">
        <w:rPr>
          <w:rFonts w:ascii="Tahoma" w:hAnsi="Tahoma" w:cs="Tahoma"/>
          <w:b/>
          <w:color w:val="2F5496" w:themeColor="accent1" w:themeShade="BF"/>
          <w:sz w:val="22"/>
          <w:szCs w:val="22"/>
          <w:lang w:val="sr-Cyrl-RS"/>
        </w:rPr>
        <w:t>.</w:t>
      </w:r>
      <w:r w:rsidR="00342097" w:rsidRPr="00315889">
        <w:rPr>
          <w:rFonts w:ascii="Tahoma" w:hAnsi="Tahoma" w:cs="Tahoma"/>
          <w:bCs/>
          <w:color w:val="2F5496" w:themeColor="accent1" w:themeShade="BF"/>
          <w:sz w:val="22"/>
          <w:szCs w:val="22"/>
          <w:lang w:val="sr-Cyrl-RS"/>
        </w:rPr>
        <w:t xml:space="preserve"> </w:t>
      </w:r>
      <w:r w:rsidR="00613952">
        <w:rPr>
          <w:rFonts w:ascii="Tahoma" w:hAnsi="Tahoma" w:cs="Tahoma"/>
          <w:bCs/>
          <w:sz w:val="22"/>
          <w:szCs w:val="22"/>
          <w:lang w:val="sr-Cyrl-RS"/>
        </w:rPr>
        <w:t xml:space="preserve">Стопа </w:t>
      </w:r>
      <w:r w:rsidR="00342097">
        <w:rPr>
          <w:rFonts w:ascii="Tahoma" w:hAnsi="Tahoma" w:cs="Tahoma"/>
          <w:bCs/>
          <w:sz w:val="22"/>
          <w:szCs w:val="22"/>
          <w:lang w:val="sr-Cyrl-RS"/>
        </w:rPr>
        <w:t>деце на смештају је</w:t>
      </w:r>
      <w:r w:rsidR="00C034CA">
        <w:rPr>
          <w:rFonts w:ascii="Tahoma" w:hAnsi="Tahoma" w:cs="Tahoma"/>
          <w:bCs/>
          <w:sz w:val="22"/>
          <w:szCs w:val="22"/>
          <w:lang w:val="sr-Latn-RS"/>
        </w:rPr>
        <w:t xml:space="preserve">, </w:t>
      </w:r>
      <w:r w:rsidR="00D36025">
        <w:rPr>
          <w:rFonts w:ascii="Tahoma" w:hAnsi="Tahoma" w:cs="Tahoma"/>
          <w:bCs/>
          <w:sz w:val="22"/>
          <w:szCs w:val="22"/>
          <w:lang w:val="sr-Cyrl-RS"/>
        </w:rPr>
        <w:t>међутим</w:t>
      </w:r>
      <w:r w:rsidR="00C034CA">
        <w:rPr>
          <w:rFonts w:ascii="Tahoma" w:hAnsi="Tahoma" w:cs="Tahoma"/>
          <w:bCs/>
          <w:sz w:val="22"/>
          <w:szCs w:val="22"/>
          <w:lang w:val="sr-Latn-RS"/>
        </w:rPr>
        <w:t>,</w:t>
      </w:r>
      <w:r w:rsidR="00D36025">
        <w:rPr>
          <w:rFonts w:ascii="Tahoma" w:hAnsi="Tahoma" w:cs="Tahoma"/>
          <w:bCs/>
          <w:sz w:val="22"/>
          <w:szCs w:val="22"/>
          <w:lang w:val="sr-Cyrl-RS"/>
        </w:rPr>
        <w:t xml:space="preserve"> знатно </w:t>
      </w:r>
      <w:r w:rsidR="00342097">
        <w:rPr>
          <w:rFonts w:ascii="Tahoma" w:hAnsi="Tahoma" w:cs="Tahoma"/>
          <w:bCs/>
          <w:sz w:val="22"/>
          <w:szCs w:val="22"/>
          <w:lang w:val="sr-Cyrl-RS"/>
        </w:rPr>
        <w:t>и</w:t>
      </w:r>
      <w:r w:rsidR="00D36025">
        <w:rPr>
          <w:rFonts w:ascii="Tahoma" w:hAnsi="Tahoma" w:cs="Tahoma"/>
          <w:bCs/>
          <w:sz w:val="22"/>
          <w:szCs w:val="22"/>
          <w:lang w:val="sr-Cyrl-RS"/>
        </w:rPr>
        <w:t>знад</w:t>
      </w:r>
      <w:r w:rsidR="00754239">
        <w:rPr>
          <w:rFonts w:ascii="Tahoma" w:hAnsi="Tahoma" w:cs="Tahoma"/>
          <w:bCs/>
          <w:sz w:val="22"/>
          <w:szCs w:val="22"/>
          <w:lang w:val="sr-Cyrl-RS"/>
        </w:rPr>
        <w:t xml:space="preserve"> </w:t>
      </w:r>
      <w:r w:rsidR="00342097">
        <w:rPr>
          <w:rFonts w:ascii="Tahoma" w:hAnsi="Tahoma" w:cs="Tahoma"/>
          <w:bCs/>
          <w:sz w:val="22"/>
          <w:szCs w:val="22"/>
          <w:lang w:val="sr-Cyrl-RS"/>
        </w:rPr>
        <w:t>просека Србија-југ.</w:t>
      </w:r>
      <w:r w:rsidR="00D51685">
        <w:rPr>
          <w:rFonts w:ascii="Tahoma" w:hAnsi="Tahoma" w:cs="Tahoma"/>
          <w:bCs/>
          <w:sz w:val="22"/>
          <w:szCs w:val="22"/>
          <w:lang w:val="sr-Latn-RS"/>
        </w:rPr>
        <w:t xml:space="preserve"> </w:t>
      </w:r>
    </w:p>
    <w:p w14:paraId="788B9A43" w14:textId="6D8607A4" w:rsidR="00F6265A" w:rsidRPr="00FF6BC7" w:rsidRDefault="00F6265A" w:rsidP="007327A7">
      <w:pPr>
        <w:spacing w:after="160" w:line="259" w:lineRule="auto"/>
        <w:jc w:val="both"/>
        <w:rPr>
          <w:rFonts w:ascii="Tahoma" w:hAnsi="Tahoma" w:cs="Tahoma"/>
          <w:color w:val="2F5496"/>
          <w:sz w:val="22"/>
          <w:szCs w:val="22"/>
          <w:lang w:val="sr-Latn-RS"/>
        </w:rPr>
      </w:pPr>
      <w:r w:rsidRPr="00A82603">
        <w:rPr>
          <w:rFonts w:ascii="Tahoma" w:hAnsi="Tahoma" w:cs="Tahoma"/>
          <w:color w:val="2F5496"/>
          <w:sz w:val="22"/>
          <w:szCs w:val="22"/>
          <w:lang w:val="sr-Cyrl-RS"/>
        </w:rPr>
        <w:t xml:space="preserve">Табела 5. </w:t>
      </w:r>
      <w:proofErr w:type="spellStart"/>
      <w:r w:rsidRPr="00A82603">
        <w:rPr>
          <w:rFonts w:ascii="Tahoma" w:hAnsi="Tahoma" w:cs="Tahoma"/>
          <w:color w:val="2F5496"/>
          <w:sz w:val="22"/>
          <w:szCs w:val="22"/>
          <w:lang w:val="sr-Cyrl-RS"/>
        </w:rPr>
        <w:t>Услуг</w:t>
      </w:r>
      <w:proofErr w:type="spellEnd"/>
      <w:r w:rsidR="00EC7985">
        <w:rPr>
          <w:rFonts w:ascii="Tahoma" w:hAnsi="Tahoma" w:cs="Tahoma"/>
          <w:color w:val="2F5496"/>
          <w:sz w:val="22"/>
          <w:szCs w:val="22"/>
          <w:lang w:val="sr-Latn-RS"/>
        </w:rPr>
        <w:t>e</w:t>
      </w:r>
      <w:r w:rsidRPr="00A82603">
        <w:rPr>
          <w:rFonts w:ascii="Tahoma" w:hAnsi="Tahoma" w:cs="Tahoma"/>
          <w:color w:val="2F5496"/>
          <w:sz w:val="22"/>
          <w:szCs w:val="22"/>
          <w:lang w:val="sr-Cyrl-RS"/>
        </w:rPr>
        <w:t xml:space="preserve"> смештаја у надлежности националног нивоа,</w:t>
      </w:r>
      <w:r w:rsidR="00FB31DF">
        <w:rPr>
          <w:rFonts w:ascii="Tahoma" w:hAnsi="Tahoma" w:cs="Tahoma"/>
          <w:color w:val="2F5496"/>
          <w:sz w:val="22"/>
          <w:szCs w:val="22"/>
          <w:lang w:val="sr-Cyrl-RS"/>
        </w:rPr>
        <w:t xml:space="preserve"> </w:t>
      </w:r>
      <w:r w:rsidRPr="00A82603">
        <w:rPr>
          <w:rFonts w:ascii="Tahoma" w:hAnsi="Tahoma" w:cs="Tahoma"/>
          <w:color w:val="2F5496"/>
          <w:sz w:val="22"/>
          <w:szCs w:val="22"/>
          <w:lang w:val="sr-Cyrl-RS"/>
        </w:rPr>
        <w:t>20</w:t>
      </w:r>
      <w:r w:rsidR="00EE7B63">
        <w:rPr>
          <w:rFonts w:ascii="Tahoma" w:hAnsi="Tahoma" w:cs="Tahoma"/>
          <w:color w:val="2F5496"/>
          <w:sz w:val="22"/>
          <w:szCs w:val="22"/>
          <w:lang w:val="sr-Latn-RS"/>
        </w:rPr>
        <w:t>20</w:t>
      </w:r>
      <w:r w:rsidRPr="00A82603">
        <w:rPr>
          <w:rFonts w:ascii="Tahoma" w:hAnsi="Tahoma" w:cs="Tahoma"/>
          <w:color w:val="2F5496"/>
          <w:sz w:val="22"/>
          <w:szCs w:val="22"/>
          <w:lang w:val="sr-Cyrl-RS"/>
        </w:rPr>
        <w:t>.</w:t>
      </w:r>
    </w:p>
    <w:tbl>
      <w:tblPr>
        <w:tblStyle w:val="GridTable5Dark-Accent51"/>
        <w:tblpPr w:leftFromText="180" w:rightFromText="180" w:vertAnchor="text" w:horzAnchor="margin" w:tblpX="-10" w:tblpY="4"/>
        <w:tblW w:w="9367" w:type="dxa"/>
        <w:tblLayout w:type="fixed"/>
        <w:tblLook w:val="04A0" w:firstRow="1" w:lastRow="0" w:firstColumn="1" w:lastColumn="0" w:noHBand="0" w:noVBand="1"/>
      </w:tblPr>
      <w:tblGrid>
        <w:gridCol w:w="4957"/>
        <w:gridCol w:w="1134"/>
        <w:gridCol w:w="992"/>
        <w:gridCol w:w="2284"/>
      </w:tblGrid>
      <w:tr w:rsidR="001B6251" w:rsidRPr="00361404" w14:paraId="3E89CD7C" w14:textId="77777777" w:rsidTr="00624B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vMerge w:val="restart"/>
            <w:tcBorders>
              <w:right w:val="single" w:sz="4" w:space="0" w:color="FFFFFF" w:themeColor="background1"/>
            </w:tcBorders>
            <w:shd w:val="clear" w:color="auto" w:fill="2F5496" w:themeFill="accent1" w:themeFillShade="BF"/>
          </w:tcPr>
          <w:p w14:paraId="00ABAEFB" w14:textId="77777777" w:rsidR="001B6251" w:rsidRPr="00361404" w:rsidRDefault="001B6251" w:rsidP="00624B5E">
            <w:pPr>
              <w:spacing w:after="160" w:line="259" w:lineRule="auto"/>
              <w:jc w:val="both"/>
              <w:rPr>
                <w:rFonts w:ascii="Tahoma" w:hAnsi="Tahoma" w:cs="Tahoma"/>
                <w:sz w:val="21"/>
                <w:szCs w:val="21"/>
                <w:lang w:val="sr-Cyrl-RS"/>
              </w:rPr>
            </w:pPr>
          </w:p>
        </w:tc>
        <w:tc>
          <w:tcPr>
            <w:tcW w:w="2126" w:type="dxa"/>
            <w:gridSpan w:val="2"/>
            <w:tcBorders>
              <w:left w:val="single" w:sz="4" w:space="0" w:color="FFFFFF" w:themeColor="background1"/>
              <w:right w:val="single" w:sz="4" w:space="0" w:color="FFFFFF" w:themeColor="background1"/>
            </w:tcBorders>
            <w:shd w:val="clear" w:color="auto" w:fill="2F5496" w:themeFill="accent1" w:themeFillShade="BF"/>
            <w:vAlign w:val="center"/>
          </w:tcPr>
          <w:p w14:paraId="55648B3B" w14:textId="243859F6" w:rsidR="001B6251" w:rsidRPr="00361404" w:rsidRDefault="00EB5318" w:rsidP="00754239">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sz w:val="21"/>
                <w:szCs w:val="21"/>
                <w:lang w:val="sr-Cyrl-RS"/>
              </w:rPr>
            </w:pPr>
            <w:r>
              <w:rPr>
                <w:rFonts w:ascii="Tahoma" w:hAnsi="Tahoma" w:cs="Tahoma"/>
                <w:sz w:val="21"/>
                <w:szCs w:val="21"/>
                <w:lang w:val="sr-Cyrl-RS"/>
              </w:rPr>
              <w:t>Смедеревска Паланка</w:t>
            </w:r>
          </w:p>
        </w:tc>
        <w:tc>
          <w:tcPr>
            <w:tcW w:w="2284" w:type="dxa"/>
            <w:vMerge w:val="restart"/>
            <w:tcBorders>
              <w:left w:val="single" w:sz="4" w:space="0" w:color="FFFFFF" w:themeColor="background1"/>
            </w:tcBorders>
            <w:shd w:val="clear" w:color="auto" w:fill="2F5496" w:themeFill="accent1" w:themeFillShade="BF"/>
            <w:vAlign w:val="center"/>
          </w:tcPr>
          <w:p w14:paraId="0D3E2B2F" w14:textId="77777777" w:rsidR="001B6251" w:rsidRPr="00232105" w:rsidRDefault="001B6251" w:rsidP="00754239">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1"/>
                <w:szCs w:val="21"/>
              </w:rPr>
            </w:pPr>
            <w:r>
              <w:rPr>
                <w:rFonts w:ascii="Tahoma" w:hAnsi="Tahoma" w:cs="Tahoma"/>
                <w:sz w:val="21"/>
                <w:szCs w:val="21"/>
                <w:lang w:val="sr-Cyrl-RS"/>
              </w:rPr>
              <w:t>Србија-југ</w:t>
            </w:r>
          </w:p>
          <w:p w14:paraId="250B535D" w14:textId="789C56CB" w:rsidR="001B6251" w:rsidRPr="00361404" w:rsidRDefault="001B6251" w:rsidP="00754239">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sz w:val="21"/>
                <w:szCs w:val="21"/>
                <w:lang w:val="sr-Cyrl-RS"/>
              </w:rPr>
            </w:pPr>
            <w:r>
              <w:rPr>
                <w:rFonts w:ascii="Tahoma" w:hAnsi="Tahoma" w:cs="Tahoma"/>
                <w:sz w:val="21"/>
                <w:szCs w:val="21"/>
                <w:lang w:val="sr-Cyrl-RS"/>
              </w:rPr>
              <w:t>(</w:t>
            </w:r>
            <w:r w:rsidR="004F22E3">
              <w:rPr>
                <w:rFonts w:ascii="Tahoma" w:hAnsi="Tahoma" w:cs="Tahoma"/>
                <w:sz w:val="21"/>
                <w:szCs w:val="21"/>
                <w:lang w:val="sr-Cyrl-RS"/>
              </w:rPr>
              <w:t>стопа</w:t>
            </w:r>
            <w:r>
              <w:rPr>
                <w:rFonts w:ascii="Tahoma" w:hAnsi="Tahoma" w:cs="Tahoma"/>
                <w:sz w:val="21"/>
                <w:szCs w:val="21"/>
                <w:lang w:val="sr-Cyrl-RS"/>
              </w:rPr>
              <w:t>)</w:t>
            </w:r>
          </w:p>
        </w:tc>
      </w:tr>
      <w:tr w:rsidR="001B6251" w:rsidRPr="00361404" w14:paraId="192CA603" w14:textId="77777777" w:rsidTr="00624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vMerge/>
            <w:tcBorders>
              <w:right w:val="single" w:sz="4" w:space="0" w:color="FFFFFF" w:themeColor="background1"/>
            </w:tcBorders>
            <w:shd w:val="clear" w:color="auto" w:fill="2F5496"/>
          </w:tcPr>
          <w:p w14:paraId="479CD873" w14:textId="77777777" w:rsidR="001B6251" w:rsidRPr="00D71E03" w:rsidRDefault="001B6251" w:rsidP="00624B5E">
            <w:pPr>
              <w:spacing w:after="160" w:line="259" w:lineRule="auto"/>
              <w:jc w:val="both"/>
              <w:rPr>
                <w:rFonts w:ascii="Tahoma" w:hAnsi="Tahoma" w:cs="Tahoma"/>
                <w:b w:val="0"/>
                <w:bCs w:val="0"/>
                <w:sz w:val="21"/>
                <w:szCs w:val="21"/>
                <w:lang w:val="sr-Cyrl-RS"/>
              </w:rPr>
            </w:pPr>
          </w:p>
        </w:tc>
        <w:tc>
          <w:tcPr>
            <w:tcW w:w="1134" w:type="dxa"/>
            <w:tcBorders>
              <w:left w:val="single" w:sz="4" w:space="0" w:color="FFFFFF" w:themeColor="background1"/>
            </w:tcBorders>
            <w:shd w:val="clear" w:color="auto" w:fill="2F5496"/>
            <w:vAlign w:val="center"/>
          </w:tcPr>
          <w:p w14:paraId="67289BC7" w14:textId="77777777" w:rsidR="001B6251" w:rsidRPr="00D71E03" w:rsidRDefault="001B6251" w:rsidP="00624B5E">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b/>
                <w:bCs/>
                <w:color w:val="FFFFFF" w:themeColor="background1"/>
                <w:sz w:val="21"/>
                <w:szCs w:val="21"/>
                <w:lang w:val="sr-Cyrl-RS"/>
              </w:rPr>
            </w:pPr>
            <w:r>
              <w:rPr>
                <w:rFonts w:ascii="Tahoma" w:hAnsi="Tahoma" w:cs="Tahoma"/>
                <w:b/>
                <w:bCs/>
                <w:color w:val="FFFFFF" w:themeColor="background1"/>
                <w:sz w:val="21"/>
                <w:szCs w:val="21"/>
                <w:lang w:val="sr-Cyrl-RS"/>
              </w:rPr>
              <w:t>број</w:t>
            </w:r>
          </w:p>
        </w:tc>
        <w:tc>
          <w:tcPr>
            <w:tcW w:w="992" w:type="dxa"/>
            <w:tcBorders>
              <w:right w:val="single" w:sz="4" w:space="0" w:color="FFFFFF" w:themeColor="background1"/>
            </w:tcBorders>
            <w:shd w:val="clear" w:color="auto" w:fill="2F5496"/>
            <w:vAlign w:val="center"/>
          </w:tcPr>
          <w:p w14:paraId="1BECFFA1" w14:textId="12585D3B" w:rsidR="001B6251" w:rsidRPr="00D71E03" w:rsidRDefault="00613952" w:rsidP="00624B5E">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b/>
                <w:bCs/>
                <w:color w:val="FFFFFF" w:themeColor="background1"/>
                <w:sz w:val="21"/>
                <w:szCs w:val="21"/>
                <w:lang w:val="sr-Cyrl-RS"/>
              </w:rPr>
            </w:pPr>
            <w:r>
              <w:rPr>
                <w:rFonts w:ascii="Tahoma" w:hAnsi="Tahoma" w:cs="Tahoma"/>
                <w:b/>
                <w:bCs/>
                <w:color w:val="FFFFFF" w:themeColor="background1"/>
                <w:sz w:val="21"/>
                <w:szCs w:val="21"/>
                <w:lang w:val="sr-Cyrl-RS"/>
              </w:rPr>
              <w:t>с</w:t>
            </w:r>
            <w:r w:rsidR="004F22E3">
              <w:rPr>
                <w:rFonts w:ascii="Tahoma" w:hAnsi="Tahoma" w:cs="Tahoma"/>
                <w:b/>
                <w:bCs/>
                <w:color w:val="FFFFFF" w:themeColor="background1"/>
                <w:sz w:val="21"/>
                <w:szCs w:val="21"/>
                <w:lang w:val="sr-Cyrl-RS"/>
              </w:rPr>
              <w:t>топа</w:t>
            </w:r>
          </w:p>
        </w:tc>
        <w:tc>
          <w:tcPr>
            <w:tcW w:w="2284" w:type="dxa"/>
            <w:vMerge/>
            <w:tcBorders>
              <w:left w:val="single" w:sz="4" w:space="0" w:color="FFFFFF" w:themeColor="background1"/>
            </w:tcBorders>
            <w:shd w:val="clear" w:color="auto" w:fill="2F5496"/>
            <w:vAlign w:val="center"/>
          </w:tcPr>
          <w:p w14:paraId="6E179143" w14:textId="77777777" w:rsidR="001B6251" w:rsidRPr="00D71E03" w:rsidRDefault="001B6251" w:rsidP="00624B5E">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b/>
                <w:bCs/>
                <w:color w:val="FFFFFF" w:themeColor="background1"/>
                <w:sz w:val="21"/>
                <w:szCs w:val="21"/>
                <w:lang w:val="sr-Cyrl-RS"/>
              </w:rPr>
            </w:pPr>
          </w:p>
        </w:tc>
      </w:tr>
      <w:tr w:rsidR="001B6251" w:rsidRPr="00361404" w14:paraId="673083E5" w14:textId="77777777" w:rsidTr="00624B5E">
        <w:tc>
          <w:tcPr>
            <w:cnfStyle w:val="001000000000" w:firstRow="0" w:lastRow="0" w:firstColumn="1" w:lastColumn="0" w:oddVBand="0" w:evenVBand="0" w:oddHBand="0" w:evenHBand="0" w:firstRowFirstColumn="0" w:firstRowLastColumn="0" w:lastRowFirstColumn="0" w:lastRowLastColumn="0"/>
            <w:tcW w:w="4957" w:type="dxa"/>
            <w:shd w:val="clear" w:color="auto" w:fill="D9E2F3" w:themeFill="accent1" w:themeFillTint="33"/>
          </w:tcPr>
          <w:p w14:paraId="60E97F81" w14:textId="4997E39D" w:rsidR="001B6251" w:rsidRPr="00B02F97" w:rsidRDefault="001B6251" w:rsidP="00624B5E">
            <w:pPr>
              <w:spacing w:after="160" w:line="259" w:lineRule="auto"/>
              <w:jc w:val="both"/>
              <w:rPr>
                <w:rFonts w:ascii="Tahoma" w:hAnsi="Tahoma" w:cs="Tahoma"/>
                <w:color w:val="1F3864" w:themeColor="accent1" w:themeShade="80"/>
                <w:sz w:val="21"/>
                <w:szCs w:val="21"/>
                <w:lang w:val="sr-Cyrl-RS"/>
              </w:rPr>
            </w:pPr>
            <w:r w:rsidRPr="00863FDB">
              <w:rPr>
                <w:rFonts w:ascii="Tahoma" w:hAnsi="Tahoma" w:cs="Tahoma"/>
                <w:color w:val="1F3864" w:themeColor="accent1" w:themeShade="80"/>
                <w:sz w:val="21"/>
                <w:szCs w:val="21"/>
                <w:lang w:val="sr-Cyrl-RS"/>
              </w:rPr>
              <w:t>Деца која користе услуге смештаја</w:t>
            </w:r>
            <w:r w:rsidR="00172E6A">
              <w:rPr>
                <w:rFonts w:ascii="Tahoma" w:hAnsi="Tahoma" w:cs="Tahoma"/>
                <w:color w:val="1F3864" w:themeColor="accent1" w:themeShade="80"/>
                <w:sz w:val="21"/>
                <w:szCs w:val="21"/>
                <w:lang w:val="sr-Cyrl-RS"/>
              </w:rPr>
              <w:t xml:space="preserve"> </w:t>
            </w:r>
            <w:r w:rsidRPr="00863FDB">
              <w:rPr>
                <w:rFonts w:ascii="Tahoma" w:hAnsi="Tahoma" w:cs="Tahoma"/>
                <w:color w:val="1F3864" w:themeColor="accent1" w:themeShade="80"/>
                <w:sz w:val="21"/>
                <w:szCs w:val="21"/>
                <w:lang w:val="sr-Cyrl-RS"/>
              </w:rPr>
              <w:t>(‰)</w:t>
            </w:r>
          </w:p>
        </w:tc>
        <w:tc>
          <w:tcPr>
            <w:tcW w:w="1134" w:type="dxa"/>
            <w:shd w:val="clear" w:color="auto" w:fill="D9E2F3" w:themeFill="accent1" w:themeFillTint="33"/>
          </w:tcPr>
          <w:p w14:paraId="78CD5D77" w14:textId="75F3EB8A" w:rsidR="001B6251" w:rsidRPr="00236623" w:rsidRDefault="00EB5318" w:rsidP="00754239">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lang w:val="sr-Cyrl-RS"/>
              </w:rPr>
            </w:pPr>
            <w:r>
              <w:rPr>
                <w:rFonts w:ascii="Tahoma" w:hAnsi="Tahoma" w:cs="Tahoma"/>
                <w:sz w:val="21"/>
                <w:szCs w:val="21"/>
                <w:lang w:val="sr-Cyrl-RS"/>
              </w:rPr>
              <w:t>68</w:t>
            </w:r>
          </w:p>
        </w:tc>
        <w:tc>
          <w:tcPr>
            <w:tcW w:w="992" w:type="dxa"/>
            <w:shd w:val="clear" w:color="auto" w:fill="D9E2F3" w:themeFill="accent1" w:themeFillTint="33"/>
          </w:tcPr>
          <w:p w14:paraId="798783C1" w14:textId="73904126" w:rsidR="001B6251" w:rsidRPr="00236623" w:rsidRDefault="00EB5318" w:rsidP="00754239">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lang w:val="sr-Cyrl-RS"/>
              </w:rPr>
            </w:pPr>
            <w:r>
              <w:rPr>
                <w:rFonts w:ascii="Tahoma" w:hAnsi="Tahoma" w:cs="Tahoma"/>
                <w:sz w:val="21"/>
                <w:szCs w:val="21"/>
                <w:lang w:val="sr-Cyrl-RS"/>
              </w:rPr>
              <w:t>9,6</w:t>
            </w:r>
          </w:p>
        </w:tc>
        <w:tc>
          <w:tcPr>
            <w:tcW w:w="2284" w:type="dxa"/>
            <w:shd w:val="clear" w:color="auto" w:fill="D9E2F3" w:themeFill="accent1" w:themeFillTint="33"/>
          </w:tcPr>
          <w:p w14:paraId="5ED6881C" w14:textId="77777777" w:rsidR="001B6251" w:rsidRPr="007F4DE4" w:rsidRDefault="001B6251" w:rsidP="00754239">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rPr>
            </w:pPr>
            <w:r>
              <w:rPr>
                <w:rFonts w:ascii="Tahoma" w:hAnsi="Tahoma" w:cs="Tahoma"/>
                <w:sz w:val="21"/>
                <w:szCs w:val="21"/>
                <w:lang w:val="sr-Cyrl-RS"/>
              </w:rPr>
              <w:t>4,</w:t>
            </w:r>
            <w:r>
              <w:rPr>
                <w:rFonts w:ascii="Tahoma" w:hAnsi="Tahoma" w:cs="Tahoma"/>
                <w:sz w:val="21"/>
                <w:szCs w:val="21"/>
              </w:rPr>
              <w:t>8</w:t>
            </w:r>
          </w:p>
        </w:tc>
      </w:tr>
      <w:tr w:rsidR="001B6251" w:rsidRPr="00361404" w14:paraId="0C22F7F3" w14:textId="77777777" w:rsidTr="00624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shd w:val="clear" w:color="auto" w:fill="EDF1F9"/>
          </w:tcPr>
          <w:p w14:paraId="4B40CD58" w14:textId="77777777" w:rsidR="001B6251" w:rsidRPr="00412F71" w:rsidRDefault="001B6251" w:rsidP="00624B5E">
            <w:pPr>
              <w:spacing w:after="160" w:line="259" w:lineRule="auto"/>
              <w:jc w:val="both"/>
              <w:rPr>
                <w:rFonts w:ascii="Tahoma" w:hAnsi="Tahoma" w:cs="Tahoma"/>
                <w:b w:val="0"/>
                <w:bCs w:val="0"/>
                <w:i/>
                <w:iCs/>
                <w:color w:val="1F3864" w:themeColor="accent1" w:themeShade="80"/>
                <w:sz w:val="21"/>
                <w:szCs w:val="21"/>
                <w:lang w:val="sr-Cyrl-RS"/>
              </w:rPr>
            </w:pPr>
            <w:r w:rsidRPr="00863FDB">
              <w:rPr>
                <w:rFonts w:ascii="Tahoma" w:hAnsi="Tahoma" w:cs="Tahoma"/>
                <w:b w:val="0"/>
                <w:bCs w:val="0"/>
                <w:i/>
                <w:iCs/>
                <w:color w:val="1F3864" w:themeColor="accent1" w:themeShade="80"/>
                <w:sz w:val="21"/>
                <w:szCs w:val="21"/>
                <w:lang w:val="sr-Cyrl-RS"/>
              </w:rPr>
              <w:t>Деца у резиденцијалним институцијама (‰)</w:t>
            </w:r>
          </w:p>
        </w:tc>
        <w:tc>
          <w:tcPr>
            <w:tcW w:w="1134" w:type="dxa"/>
            <w:shd w:val="clear" w:color="auto" w:fill="EDF1F9"/>
          </w:tcPr>
          <w:p w14:paraId="10128B0E" w14:textId="00203C21" w:rsidR="001B6251" w:rsidRPr="00236623" w:rsidRDefault="00EB5318" w:rsidP="00754239">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i/>
                <w:iCs/>
                <w:sz w:val="21"/>
                <w:szCs w:val="21"/>
                <w:lang w:val="sr-Cyrl-RS"/>
              </w:rPr>
            </w:pPr>
            <w:r>
              <w:rPr>
                <w:rFonts w:ascii="Tahoma" w:hAnsi="Tahoma" w:cs="Tahoma"/>
                <w:i/>
                <w:iCs/>
                <w:sz w:val="21"/>
                <w:szCs w:val="21"/>
                <w:lang w:val="sr-Cyrl-RS"/>
              </w:rPr>
              <w:t>0</w:t>
            </w:r>
          </w:p>
        </w:tc>
        <w:tc>
          <w:tcPr>
            <w:tcW w:w="992" w:type="dxa"/>
            <w:shd w:val="clear" w:color="auto" w:fill="EDF1F9"/>
          </w:tcPr>
          <w:p w14:paraId="326D42A5" w14:textId="6FAF7210" w:rsidR="001B6251" w:rsidRPr="00236623" w:rsidRDefault="00EB5318" w:rsidP="00754239">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i/>
                <w:iCs/>
                <w:sz w:val="21"/>
                <w:szCs w:val="21"/>
                <w:lang w:val="sr-Cyrl-RS"/>
              </w:rPr>
            </w:pPr>
            <w:r>
              <w:rPr>
                <w:rFonts w:ascii="Tahoma" w:hAnsi="Tahoma" w:cs="Tahoma"/>
                <w:i/>
                <w:iCs/>
                <w:sz w:val="21"/>
                <w:szCs w:val="21"/>
                <w:lang w:val="sr-Cyrl-RS"/>
              </w:rPr>
              <w:t>0</w:t>
            </w:r>
          </w:p>
        </w:tc>
        <w:tc>
          <w:tcPr>
            <w:tcW w:w="2284" w:type="dxa"/>
            <w:shd w:val="clear" w:color="auto" w:fill="EDF1F9"/>
          </w:tcPr>
          <w:p w14:paraId="24A29460" w14:textId="77777777" w:rsidR="001B6251" w:rsidRPr="007F4DE4" w:rsidRDefault="001B6251" w:rsidP="00754239">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i/>
                <w:iCs/>
                <w:sz w:val="21"/>
                <w:szCs w:val="21"/>
              </w:rPr>
            </w:pPr>
            <w:r w:rsidRPr="00412F71">
              <w:rPr>
                <w:rFonts w:ascii="Tahoma" w:hAnsi="Tahoma" w:cs="Tahoma"/>
                <w:i/>
                <w:iCs/>
                <w:sz w:val="21"/>
                <w:szCs w:val="21"/>
              </w:rPr>
              <w:t>0,</w:t>
            </w:r>
            <w:r>
              <w:rPr>
                <w:rFonts w:ascii="Tahoma" w:hAnsi="Tahoma" w:cs="Tahoma"/>
                <w:i/>
                <w:iCs/>
                <w:sz w:val="21"/>
                <w:szCs w:val="21"/>
              </w:rPr>
              <w:t>3</w:t>
            </w:r>
          </w:p>
        </w:tc>
      </w:tr>
      <w:tr w:rsidR="001B6251" w:rsidRPr="00361404" w14:paraId="2AEF6E5F" w14:textId="77777777" w:rsidTr="00624B5E">
        <w:tc>
          <w:tcPr>
            <w:cnfStyle w:val="001000000000" w:firstRow="0" w:lastRow="0" w:firstColumn="1" w:lastColumn="0" w:oddVBand="0" w:evenVBand="0" w:oddHBand="0" w:evenHBand="0" w:firstRowFirstColumn="0" w:firstRowLastColumn="0" w:lastRowFirstColumn="0" w:lastRowLastColumn="0"/>
            <w:tcW w:w="4957" w:type="dxa"/>
            <w:shd w:val="clear" w:color="auto" w:fill="EDF1F9"/>
          </w:tcPr>
          <w:p w14:paraId="348EED49" w14:textId="77777777" w:rsidR="001B6251" w:rsidRPr="00412F71" w:rsidRDefault="001B6251" w:rsidP="00624B5E">
            <w:pPr>
              <w:spacing w:after="160" w:line="259" w:lineRule="auto"/>
              <w:jc w:val="both"/>
              <w:rPr>
                <w:rFonts w:ascii="Tahoma" w:hAnsi="Tahoma" w:cs="Tahoma"/>
                <w:b w:val="0"/>
                <w:bCs w:val="0"/>
                <w:i/>
                <w:iCs/>
                <w:color w:val="1F3864" w:themeColor="accent1" w:themeShade="80"/>
                <w:sz w:val="21"/>
                <w:szCs w:val="21"/>
                <w:lang w:val="sr-Cyrl-RS"/>
              </w:rPr>
            </w:pPr>
            <w:r w:rsidRPr="00863FDB">
              <w:rPr>
                <w:rFonts w:ascii="Tahoma" w:hAnsi="Tahoma" w:cs="Tahoma"/>
                <w:b w:val="0"/>
                <w:bCs w:val="0"/>
                <w:i/>
                <w:iCs/>
                <w:color w:val="1F3864" w:themeColor="accent1" w:themeShade="80"/>
                <w:sz w:val="21"/>
                <w:szCs w:val="21"/>
                <w:lang w:val="sr-Cyrl-RS"/>
              </w:rPr>
              <w:lastRenderedPageBreak/>
              <w:t>Деца у хранитељским породицама (‰)</w:t>
            </w:r>
          </w:p>
        </w:tc>
        <w:tc>
          <w:tcPr>
            <w:tcW w:w="1134" w:type="dxa"/>
            <w:shd w:val="clear" w:color="auto" w:fill="EDF1F9"/>
          </w:tcPr>
          <w:p w14:paraId="6A31D259" w14:textId="7A55DBD1" w:rsidR="001B6251" w:rsidRPr="00236623" w:rsidRDefault="00EB5318" w:rsidP="00754239">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i/>
                <w:iCs/>
                <w:sz w:val="21"/>
                <w:szCs w:val="21"/>
                <w:lang w:val="sr-Cyrl-RS"/>
              </w:rPr>
            </w:pPr>
            <w:r>
              <w:rPr>
                <w:rFonts w:ascii="Tahoma" w:hAnsi="Tahoma" w:cs="Tahoma"/>
                <w:i/>
                <w:iCs/>
                <w:sz w:val="21"/>
                <w:szCs w:val="21"/>
                <w:lang w:val="sr-Cyrl-RS"/>
              </w:rPr>
              <w:t>68</w:t>
            </w:r>
          </w:p>
        </w:tc>
        <w:tc>
          <w:tcPr>
            <w:tcW w:w="992" w:type="dxa"/>
            <w:shd w:val="clear" w:color="auto" w:fill="EDF1F9"/>
          </w:tcPr>
          <w:p w14:paraId="145F8F74" w14:textId="2C6BA25B" w:rsidR="001B6251" w:rsidRPr="00236623" w:rsidRDefault="00EB5318" w:rsidP="00754239">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i/>
                <w:iCs/>
                <w:sz w:val="21"/>
                <w:szCs w:val="21"/>
                <w:lang w:val="sr-Cyrl-RS"/>
              </w:rPr>
            </w:pPr>
            <w:r>
              <w:rPr>
                <w:rFonts w:ascii="Tahoma" w:hAnsi="Tahoma" w:cs="Tahoma"/>
                <w:i/>
                <w:iCs/>
                <w:sz w:val="21"/>
                <w:szCs w:val="21"/>
                <w:lang w:val="sr-Cyrl-RS"/>
              </w:rPr>
              <w:t>9,6</w:t>
            </w:r>
          </w:p>
        </w:tc>
        <w:tc>
          <w:tcPr>
            <w:tcW w:w="2284" w:type="dxa"/>
            <w:shd w:val="clear" w:color="auto" w:fill="EDF1F9"/>
          </w:tcPr>
          <w:p w14:paraId="310F16EE" w14:textId="77777777" w:rsidR="001B6251" w:rsidRPr="00863FDB" w:rsidRDefault="001B6251" w:rsidP="00754239">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i/>
                <w:iCs/>
                <w:sz w:val="21"/>
                <w:szCs w:val="21"/>
                <w:lang w:val="sr-Cyrl-RS"/>
              </w:rPr>
            </w:pPr>
            <w:r>
              <w:rPr>
                <w:rFonts w:ascii="Tahoma" w:hAnsi="Tahoma" w:cs="Tahoma"/>
                <w:i/>
                <w:iCs/>
                <w:sz w:val="21"/>
                <w:szCs w:val="21"/>
                <w:lang w:val="sr-Cyrl-RS"/>
              </w:rPr>
              <w:t>4,4</w:t>
            </w:r>
          </w:p>
        </w:tc>
      </w:tr>
      <w:tr w:rsidR="001B6251" w:rsidRPr="00361404" w14:paraId="63DCB42D" w14:textId="77777777" w:rsidTr="00624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shd w:val="clear" w:color="auto" w:fill="B4C6E7" w:themeFill="accent1" w:themeFillTint="66"/>
          </w:tcPr>
          <w:p w14:paraId="3E69F80C" w14:textId="4C7BC964" w:rsidR="001B6251" w:rsidRPr="00ED3FD0" w:rsidRDefault="001B6251" w:rsidP="00624B5E">
            <w:pPr>
              <w:spacing w:after="160" w:line="259" w:lineRule="auto"/>
              <w:jc w:val="both"/>
              <w:rPr>
                <w:rFonts w:ascii="Tahoma" w:hAnsi="Tahoma" w:cs="Tahoma"/>
                <w:color w:val="1F3864" w:themeColor="accent1" w:themeShade="80"/>
                <w:sz w:val="21"/>
                <w:szCs w:val="21"/>
              </w:rPr>
            </w:pPr>
            <w:r w:rsidRPr="002C3173">
              <w:rPr>
                <w:rFonts w:ascii="Tahoma" w:hAnsi="Tahoma" w:cs="Tahoma"/>
                <w:color w:val="1F3864" w:themeColor="accent1" w:themeShade="80"/>
                <w:sz w:val="21"/>
                <w:szCs w:val="21"/>
                <w:lang w:val="sr-Cyrl-RS"/>
              </w:rPr>
              <w:t>Корисници</w:t>
            </w:r>
            <w:r>
              <w:rPr>
                <w:rFonts w:ascii="Tahoma" w:hAnsi="Tahoma" w:cs="Tahoma"/>
                <w:color w:val="1F3864" w:themeColor="accent1" w:themeShade="80"/>
                <w:sz w:val="21"/>
                <w:szCs w:val="21"/>
                <w:lang w:val="sr-Cyrl-RS"/>
              </w:rPr>
              <w:t xml:space="preserve"> државних домова за старе</w:t>
            </w:r>
            <w:r w:rsidR="00ED3FD0">
              <w:rPr>
                <w:rFonts w:ascii="Tahoma" w:hAnsi="Tahoma" w:cs="Tahoma"/>
                <w:color w:val="1F3864" w:themeColor="accent1" w:themeShade="80"/>
                <w:sz w:val="21"/>
                <w:szCs w:val="21"/>
              </w:rPr>
              <w:t xml:space="preserve"> (%)</w:t>
            </w:r>
          </w:p>
        </w:tc>
        <w:tc>
          <w:tcPr>
            <w:tcW w:w="1134" w:type="dxa"/>
            <w:shd w:val="clear" w:color="auto" w:fill="B4C6E7" w:themeFill="accent1" w:themeFillTint="66"/>
          </w:tcPr>
          <w:p w14:paraId="025DAD6B" w14:textId="1707CA98" w:rsidR="001B6251" w:rsidRPr="00EB5318" w:rsidRDefault="00EB5318" w:rsidP="00754239">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lang w:val="sr-Cyrl-RS"/>
              </w:rPr>
            </w:pPr>
            <w:r>
              <w:rPr>
                <w:rFonts w:ascii="Tahoma" w:hAnsi="Tahoma" w:cs="Tahoma"/>
                <w:sz w:val="21"/>
                <w:szCs w:val="21"/>
                <w:lang w:val="sr-Cyrl-RS"/>
              </w:rPr>
              <w:t>27</w:t>
            </w:r>
          </w:p>
        </w:tc>
        <w:tc>
          <w:tcPr>
            <w:tcW w:w="992" w:type="dxa"/>
            <w:shd w:val="clear" w:color="auto" w:fill="B4C6E7" w:themeFill="accent1" w:themeFillTint="66"/>
          </w:tcPr>
          <w:p w14:paraId="5ED2992B" w14:textId="233BEAE1" w:rsidR="001B6251" w:rsidRPr="00EB5318" w:rsidRDefault="00EB5318" w:rsidP="00754239">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lang w:val="sr-Cyrl-RS"/>
              </w:rPr>
            </w:pPr>
            <w:r>
              <w:rPr>
                <w:rFonts w:ascii="Tahoma" w:hAnsi="Tahoma" w:cs="Tahoma"/>
                <w:sz w:val="21"/>
                <w:szCs w:val="21"/>
                <w:lang w:val="sr-Cyrl-RS"/>
              </w:rPr>
              <w:t>0,3</w:t>
            </w:r>
          </w:p>
        </w:tc>
        <w:tc>
          <w:tcPr>
            <w:tcW w:w="2284" w:type="dxa"/>
            <w:shd w:val="clear" w:color="auto" w:fill="B4C6E7" w:themeFill="accent1" w:themeFillTint="66"/>
          </w:tcPr>
          <w:p w14:paraId="504AE269" w14:textId="77777777" w:rsidR="001B6251" w:rsidRPr="002C3173" w:rsidRDefault="001B6251" w:rsidP="00754239">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rPr>
            </w:pPr>
            <w:r w:rsidRPr="00412F71">
              <w:rPr>
                <w:rFonts w:ascii="Tahoma" w:hAnsi="Tahoma" w:cs="Tahoma"/>
                <w:sz w:val="21"/>
                <w:szCs w:val="21"/>
              </w:rPr>
              <w:t>0,</w:t>
            </w:r>
            <w:r>
              <w:rPr>
                <w:rFonts w:ascii="Tahoma" w:hAnsi="Tahoma" w:cs="Tahoma"/>
                <w:sz w:val="21"/>
                <w:szCs w:val="21"/>
                <w:lang w:val="sr-Cyrl-RS"/>
              </w:rPr>
              <w:t>3</w:t>
            </w:r>
          </w:p>
        </w:tc>
      </w:tr>
    </w:tbl>
    <w:p w14:paraId="45CD508E" w14:textId="571E205C" w:rsidR="005A1B51" w:rsidRDefault="002772DD" w:rsidP="003427E2">
      <w:pPr>
        <w:spacing w:line="259" w:lineRule="auto"/>
        <w:jc w:val="both"/>
        <w:rPr>
          <w:rFonts w:ascii="Tahoma" w:eastAsia="Open Sans" w:hAnsi="Tahoma" w:cs="Tahoma"/>
          <w:sz w:val="18"/>
          <w:szCs w:val="18"/>
          <w:lang w:val="sr-Cyrl-RS"/>
        </w:rPr>
      </w:pPr>
      <w:r>
        <w:rPr>
          <w:rFonts w:ascii="Tahoma" w:hAnsi="Tahoma" w:cs="Tahoma"/>
          <w:sz w:val="18"/>
          <w:szCs w:val="18"/>
          <w:lang w:val="sr-Cyrl-RS"/>
        </w:rPr>
        <w:t xml:space="preserve">Извор: </w:t>
      </w:r>
      <w:r w:rsidRPr="00AF3C50">
        <w:rPr>
          <w:rFonts w:ascii="Tahoma" w:hAnsi="Tahoma" w:cs="Tahoma"/>
          <w:sz w:val="18"/>
          <w:szCs w:val="18"/>
          <w:lang w:val="sr-Cyrl-RS"/>
        </w:rPr>
        <w:t>ДевИнфо база</w:t>
      </w:r>
      <w:r w:rsidR="00996F91">
        <w:rPr>
          <w:rFonts w:ascii="Tahoma" w:hAnsi="Tahoma" w:cs="Tahoma"/>
          <w:sz w:val="18"/>
          <w:szCs w:val="18"/>
          <w:lang w:val="sr-Cyrl-RS"/>
        </w:rPr>
        <w:t>,</w:t>
      </w:r>
      <w:r>
        <w:rPr>
          <w:rFonts w:ascii="Tahoma" w:hAnsi="Tahoma" w:cs="Tahoma"/>
          <w:sz w:val="18"/>
          <w:szCs w:val="18"/>
          <w:lang w:val="sr-Cyrl-RS"/>
        </w:rPr>
        <w:t xml:space="preserve"> </w:t>
      </w:r>
      <w:r w:rsidRPr="00AF3C50">
        <w:rPr>
          <w:rFonts w:ascii="Tahoma" w:hAnsi="Tahoma" w:cs="Tahoma"/>
          <w:sz w:val="18"/>
          <w:szCs w:val="18"/>
          <w:lang w:val="sr-Cyrl-RS"/>
        </w:rPr>
        <w:t>Републичк</w:t>
      </w:r>
      <w:r w:rsidR="00996F91">
        <w:rPr>
          <w:rFonts w:ascii="Tahoma" w:hAnsi="Tahoma" w:cs="Tahoma"/>
          <w:sz w:val="18"/>
          <w:szCs w:val="18"/>
          <w:lang w:val="sr-Cyrl-RS"/>
        </w:rPr>
        <w:t>и</w:t>
      </w:r>
      <w:r w:rsidRPr="00AF3C50">
        <w:rPr>
          <w:rFonts w:ascii="Tahoma" w:hAnsi="Tahoma" w:cs="Tahoma"/>
          <w:sz w:val="18"/>
          <w:szCs w:val="18"/>
          <w:lang w:val="sr-Cyrl-RS"/>
        </w:rPr>
        <w:t xml:space="preserve"> завод за статистику</w:t>
      </w:r>
      <w:r>
        <w:rPr>
          <w:rFonts w:ascii="Tahoma" w:eastAsia="Open Sans" w:hAnsi="Tahoma" w:cs="Tahoma"/>
          <w:sz w:val="18"/>
          <w:szCs w:val="18"/>
          <w:lang w:val="sr-Cyrl-RS"/>
        </w:rPr>
        <w:t>.</w:t>
      </w:r>
    </w:p>
    <w:p w14:paraId="0A8DCB61" w14:textId="2B1A4BCD" w:rsidR="00863FDB" w:rsidRPr="002E2E41" w:rsidRDefault="002772DD" w:rsidP="003427E2">
      <w:pPr>
        <w:spacing w:after="160" w:line="259" w:lineRule="auto"/>
        <w:jc w:val="both"/>
        <w:rPr>
          <w:rFonts w:ascii="Tahoma" w:hAnsi="Tahoma" w:cs="Tahoma"/>
          <w:sz w:val="18"/>
          <w:szCs w:val="18"/>
          <w:lang w:val="sr-Cyrl-RS"/>
        </w:rPr>
      </w:pPr>
      <w:r w:rsidRPr="002772DD">
        <w:rPr>
          <w:rFonts w:ascii="Tahoma" w:hAnsi="Tahoma" w:cs="Tahoma"/>
          <w:sz w:val="18"/>
          <w:szCs w:val="18"/>
          <w:lang w:val="sr-Cyrl-RS"/>
        </w:rPr>
        <w:t>Напомена: Стопа је на 1</w:t>
      </w:r>
      <w:r w:rsidR="00EC5D8B">
        <w:rPr>
          <w:rFonts w:ascii="Tahoma" w:hAnsi="Tahoma" w:cs="Tahoma"/>
          <w:sz w:val="18"/>
          <w:szCs w:val="18"/>
          <w:lang w:val="sr-Cyrl-RS"/>
        </w:rPr>
        <w:t>.</w:t>
      </w:r>
      <w:r w:rsidRPr="002772DD">
        <w:rPr>
          <w:rFonts w:ascii="Tahoma" w:hAnsi="Tahoma" w:cs="Tahoma"/>
          <w:sz w:val="18"/>
          <w:szCs w:val="18"/>
          <w:lang w:val="sr-Cyrl-RS"/>
        </w:rPr>
        <w:t>000 деце</w:t>
      </w:r>
      <w:r>
        <w:rPr>
          <w:rFonts w:ascii="Tahoma" w:hAnsi="Tahoma" w:cs="Tahoma"/>
          <w:sz w:val="18"/>
          <w:szCs w:val="18"/>
          <w:lang w:val="sr-Cyrl-RS"/>
        </w:rPr>
        <w:t>.</w:t>
      </w:r>
    </w:p>
    <w:p w14:paraId="02DE595C" w14:textId="2296B6D8" w:rsidR="00AF33B9" w:rsidRDefault="005937F3" w:rsidP="003427E2">
      <w:pPr>
        <w:spacing w:after="160" w:line="259" w:lineRule="auto"/>
        <w:jc w:val="both"/>
        <w:rPr>
          <w:rFonts w:ascii="Tahoma" w:hAnsi="Tahoma" w:cs="Tahoma"/>
          <w:bCs/>
          <w:iCs/>
          <w:sz w:val="22"/>
          <w:szCs w:val="22"/>
          <w:lang w:val="sr-Cyrl-RS"/>
        </w:rPr>
      </w:pPr>
      <w:r w:rsidRPr="00315889">
        <w:rPr>
          <w:rFonts w:ascii="Tahoma" w:hAnsi="Tahoma" w:cs="Tahoma"/>
          <w:b/>
          <w:iCs/>
          <w:color w:val="2F5496" w:themeColor="accent1" w:themeShade="BF"/>
          <w:sz w:val="22"/>
          <w:szCs w:val="22"/>
          <w:lang w:val="sr-Cyrl-RS"/>
        </w:rPr>
        <w:t xml:space="preserve">Свега </w:t>
      </w:r>
      <w:r w:rsidR="00D36025">
        <w:rPr>
          <w:rFonts w:ascii="Tahoma" w:hAnsi="Tahoma" w:cs="Tahoma"/>
          <w:b/>
          <w:iCs/>
          <w:color w:val="2F5496" w:themeColor="accent1" w:themeShade="BF"/>
          <w:sz w:val="22"/>
          <w:szCs w:val="22"/>
          <w:lang w:val="sr-Cyrl-RS"/>
        </w:rPr>
        <w:t>27</w:t>
      </w:r>
      <w:r w:rsidR="00827786" w:rsidRPr="00315889">
        <w:rPr>
          <w:rFonts w:ascii="Tahoma" w:hAnsi="Tahoma" w:cs="Tahoma"/>
          <w:b/>
          <w:iCs/>
          <w:color w:val="2F5496" w:themeColor="accent1" w:themeShade="BF"/>
          <w:sz w:val="22"/>
          <w:szCs w:val="22"/>
          <w:lang w:val="sr-Cyrl-RS"/>
        </w:rPr>
        <w:t xml:space="preserve"> </w:t>
      </w:r>
      <w:r w:rsidRPr="00315889">
        <w:rPr>
          <w:rFonts w:ascii="Tahoma" w:hAnsi="Tahoma" w:cs="Tahoma"/>
          <w:b/>
          <w:iCs/>
          <w:color w:val="2F5496" w:themeColor="accent1" w:themeShade="BF"/>
          <w:sz w:val="22"/>
          <w:szCs w:val="22"/>
          <w:lang w:val="sr-Cyrl-RS"/>
        </w:rPr>
        <w:t xml:space="preserve">старих је смештено у државним домовима, а одговарајући удео је </w:t>
      </w:r>
      <w:r w:rsidR="00D36025">
        <w:rPr>
          <w:rFonts w:ascii="Tahoma" w:hAnsi="Tahoma" w:cs="Tahoma"/>
          <w:b/>
          <w:iCs/>
          <w:color w:val="2F5496" w:themeColor="accent1" w:themeShade="BF"/>
          <w:sz w:val="22"/>
          <w:szCs w:val="22"/>
          <w:lang w:val="sr-Cyrl-RS"/>
        </w:rPr>
        <w:t xml:space="preserve">на нивоу </w:t>
      </w:r>
      <w:r w:rsidR="003D7D2A" w:rsidRPr="00315889">
        <w:rPr>
          <w:rFonts w:ascii="Tahoma" w:hAnsi="Tahoma" w:cs="Tahoma"/>
          <w:b/>
          <w:iCs/>
          <w:color w:val="2F5496" w:themeColor="accent1" w:themeShade="BF"/>
          <w:sz w:val="22"/>
          <w:szCs w:val="22"/>
          <w:lang w:val="sr-Cyrl-RS"/>
        </w:rPr>
        <w:t xml:space="preserve">просека </w:t>
      </w:r>
      <w:r w:rsidRPr="00315889">
        <w:rPr>
          <w:rFonts w:ascii="Tahoma" w:hAnsi="Tahoma" w:cs="Tahoma"/>
          <w:b/>
          <w:iCs/>
          <w:color w:val="2F5496" w:themeColor="accent1" w:themeShade="BF"/>
          <w:sz w:val="22"/>
          <w:szCs w:val="22"/>
          <w:lang w:val="sr-Cyrl-RS"/>
        </w:rPr>
        <w:t>Србиј</w:t>
      </w:r>
      <w:r w:rsidR="003D7D2A" w:rsidRPr="00315889">
        <w:rPr>
          <w:rFonts w:ascii="Tahoma" w:hAnsi="Tahoma" w:cs="Tahoma"/>
          <w:b/>
          <w:iCs/>
          <w:color w:val="2F5496" w:themeColor="accent1" w:themeShade="BF"/>
          <w:sz w:val="22"/>
          <w:szCs w:val="22"/>
          <w:lang w:val="sr-Cyrl-RS"/>
        </w:rPr>
        <w:t>а-југ</w:t>
      </w:r>
      <w:r w:rsidRPr="00EC7985">
        <w:rPr>
          <w:rFonts w:ascii="Tahoma" w:hAnsi="Tahoma" w:cs="Tahoma"/>
          <w:bCs/>
          <w:iCs/>
          <w:sz w:val="22"/>
          <w:szCs w:val="22"/>
          <w:lang w:val="sr-Cyrl-RS"/>
        </w:rPr>
        <w:t xml:space="preserve">. </w:t>
      </w:r>
      <w:r w:rsidRPr="00EC7985">
        <w:rPr>
          <w:rFonts w:ascii="Tahoma" w:hAnsi="Tahoma" w:cs="Tahoma"/>
          <w:bCs/>
          <w:iCs/>
          <w:color w:val="000000" w:themeColor="text1"/>
          <w:sz w:val="22"/>
          <w:szCs w:val="22"/>
          <w:lang w:val="sr-Cyrl-RS"/>
        </w:rPr>
        <w:t xml:space="preserve">Током времена </w:t>
      </w:r>
      <w:r w:rsidRPr="00EC7985">
        <w:rPr>
          <w:rFonts w:ascii="Tahoma" w:hAnsi="Tahoma" w:cs="Tahoma"/>
          <w:bCs/>
          <w:iCs/>
          <w:sz w:val="22"/>
          <w:szCs w:val="22"/>
          <w:lang w:val="sr-Cyrl-RS"/>
        </w:rPr>
        <w:t xml:space="preserve">број и удео старих у домовима </w:t>
      </w:r>
      <w:r w:rsidR="002E2E41" w:rsidRPr="00EC7985">
        <w:rPr>
          <w:rFonts w:ascii="Tahoma" w:hAnsi="Tahoma" w:cs="Tahoma"/>
          <w:bCs/>
          <w:iCs/>
          <w:sz w:val="22"/>
          <w:szCs w:val="22"/>
          <w:lang w:val="sr-Latn-RS"/>
        </w:rPr>
        <w:t>j</w:t>
      </w:r>
      <w:r w:rsidRPr="00EC7985">
        <w:rPr>
          <w:rFonts w:ascii="Tahoma" w:hAnsi="Tahoma" w:cs="Tahoma"/>
          <w:bCs/>
          <w:iCs/>
          <w:sz w:val="22"/>
          <w:szCs w:val="22"/>
          <w:lang w:val="sr-Cyrl-RS"/>
        </w:rPr>
        <w:t xml:space="preserve">е </w:t>
      </w:r>
      <w:r w:rsidR="002E2E41" w:rsidRPr="00EC7985">
        <w:rPr>
          <w:rFonts w:ascii="Tahoma" w:hAnsi="Tahoma" w:cs="Tahoma"/>
          <w:bCs/>
          <w:iCs/>
          <w:sz w:val="22"/>
          <w:szCs w:val="22"/>
          <w:lang w:val="sr-Cyrl-RS"/>
        </w:rPr>
        <w:t xml:space="preserve">углавном стагнирао. </w:t>
      </w:r>
      <w:r w:rsidRPr="00863FDB">
        <w:rPr>
          <w:rFonts w:ascii="Tahoma" w:hAnsi="Tahoma" w:cs="Tahoma"/>
          <w:bCs/>
          <w:iCs/>
          <w:sz w:val="22"/>
          <w:szCs w:val="22"/>
          <w:lang w:val="sr-Cyrl-RS"/>
        </w:rPr>
        <w:t xml:space="preserve">С обзиром на снажан пораст броја корисника приватних домова </w:t>
      </w:r>
      <w:r w:rsidR="002E2E41">
        <w:rPr>
          <w:rFonts w:ascii="Tahoma" w:hAnsi="Tahoma" w:cs="Tahoma"/>
          <w:bCs/>
          <w:iCs/>
          <w:sz w:val="22"/>
          <w:szCs w:val="22"/>
          <w:lang w:val="sr-Cyrl-RS"/>
        </w:rPr>
        <w:t xml:space="preserve">у Србији, </w:t>
      </w:r>
      <w:r w:rsidRPr="00863FDB">
        <w:rPr>
          <w:rFonts w:ascii="Tahoma" w:hAnsi="Tahoma" w:cs="Tahoma"/>
          <w:bCs/>
          <w:iCs/>
          <w:sz w:val="22"/>
          <w:szCs w:val="22"/>
          <w:lang w:val="sr-Cyrl-RS"/>
        </w:rPr>
        <w:t>сагледавање само броја корисника у државним домовима постаје све мање релевантно.</w:t>
      </w:r>
      <w:r w:rsidR="00EC7985">
        <w:rPr>
          <w:rStyle w:val="FootnoteReference"/>
          <w:rFonts w:ascii="Tahoma" w:hAnsi="Tahoma" w:cs="Tahoma"/>
          <w:bCs/>
          <w:iCs/>
          <w:sz w:val="22"/>
          <w:szCs w:val="22"/>
          <w:lang w:val="sr-Cyrl-RS"/>
        </w:rPr>
        <w:footnoteReference w:id="4"/>
      </w:r>
    </w:p>
    <w:p w14:paraId="193330C8" w14:textId="2ACBBF08" w:rsidR="005937F3" w:rsidRPr="00C07B5E" w:rsidRDefault="005937F3" w:rsidP="007327A7">
      <w:pPr>
        <w:pStyle w:val="Heading2"/>
        <w:spacing w:before="0" w:after="160" w:line="259" w:lineRule="auto"/>
        <w:jc w:val="both"/>
        <w:rPr>
          <w:rFonts w:ascii="Tahoma" w:hAnsi="Tahoma" w:cs="Tahoma"/>
          <w:b/>
          <w:bCs/>
          <w:sz w:val="28"/>
          <w:szCs w:val="28"/>
          <w:lang w:val="sr-Cyrl-RS"/>
        </w:rPr>
      </w:pPr>
      <w:r w:rsidRPr="001A25A2">
        <w:rPr>
          <w:rFonts w:ascii="Tahoma" w:hAnsi="Tahoma" w:cs="Tahoma"/>
          <w:b/>
          <w:bCs/>
          <w:sz w:val="28"/>
          <w:szCs w:val="28"/>
          <w:lang w:val="sr-Cyrl-RS"/>
        </w:rPr>
        <w:t>С</w:t>
      </w:r>
      <w:r w:rsidR="001A25A2">
        <w:rPr>
          <w:rFonts w:ascii="Tahoma" w:hAnsi="Tahoma" w:cs="Tahoma"/>
          <w:b/>
          <w:bCs/>
          <w:sz w:val="28"/>
          <w:szCs w:val="28"/>
          <w:lang w:val="sr-Cyrl-RS"/>
        </w:rPr>
        <w:t xml:space="preserve">оцијална заштита у мандату локалних самоуправа </w:t>
      </w:r>
    </w:p>
    <w:p w14:paraId="374A2185" w14:textId="288C7D7D" w:rsidR="005937F3" w:rsidRPr="006F4BD2" w:rsidRDefault="005937F3" w:rsidP="007327A7">
      <w:pPr>
        <w:pStyle w:val="Heading3"/>
        <w:spacing w:before="0" w:after="160" w:line="259" w:lineRule="auto"/>
        <w:jc w:val="both"/>
        <w:rPr>
          <w:rFonts w:ascii="Tahoma" w:hAnsi="Tahoma" w:cs="Tahoma"/>
          <w:b/>
          <w:bCs/>
          <w:color w:val="2F5496"/>
          <w:lang w:val="sr-Cyrl-RS"/>
        </w:rPr>
      </w:pPr>
      <w:r w:rsidRPr="006F4BD2">
        <w:rPr>
          <w:rFonts w:ascii="Tahoma" w:hAnsi="Tahoma" w:cs="Tahoma"/>
          <w:b/>
          <w:bCs/>
          <w:color w:val="2F5496"/>
          <w:lang w:val="sr-Cyrl-RS"/>
        </w:rPr>
        <w:t>Мандат</w:t>
      </w:r>
      <w:r w:rsidR="005F3037">
        <w:rPr>
          <w:rFonts w:ascii="Tahoma" w:hAnsi="Tahoma" w:cs="Tahoma"/>
          <w:b/>
          <w:bCs/>
          <w:color w:val="2F5496"/>
          <w:lang w:val="sr-Cyrl-RS"/>
        </w:rPr>
        <w:t xml:space="preserve"> и </w:t>
      </w:r>
      <w:r w:rsidRPr="006F4BD2">
        <w:rPr>
          <w:rFonts w:ascii="Tahoma" w:hAnsi="Tahoma" w:cs="Tahoma"/>
          <w:b/>
          <w:bCs/>
          <w:color w:val="2F5496"/>
          <w:lang w:val="sr-Cyrl-RS"/>
        </w:rPr>
        <w:t xml:space="preserve">буџетски расходи </w:t>
      </w:r>
      <w:r w:rsidR="005F3037">
        <w:rPr>
          <w:rFonts w:ascii="Tahoma" w:hAnsi="Tahoma" w:cs="Tahoma"/>
          <w:b/>
          <w:bCs/>
          <w:color w:val="2F5496"/>
          <w:lang w:val="sr-Cyrl-RS"/>
        </w:rPr>
        <w:t>општине</w:t>
      </w:r>
      <w:r w:rsidRPr="006F4BD2">
        <w:rPr>
          <w:rFonts w:ascii="Tahoma" w:hAnsi="Tahoma" w:cs="Tahoma"/>
          <w:b/>
          <w:bCs/>
          <w:color w:val="2F5496"/>
          <w:lang w:val="sr-Cyrl-RS"/>
        </w:rPr>
        <w:t xml:space="preserve"> за социјалну заштиту</w:t>
      </w:r>
    </w:p>
    <w:p w14:paraId="12A48A97" w14:textId="37D544CB" w:rsidR="005937F3" w:rsidRPr="006F4BD2" w:rsidRDefault="005937F3" w:rsidP="007327A7">
      <w:pPr>
        <w:spacing w:after="160" w:line="259" w:lineRule="auto"/>
        <w:jc w:val="both"/>
        <w:rPr>
          <w:rFonts w:ascii="Tahoma" w:hAnsi="Tahoma" w:cs="Tahoma"/>
          <w:bCs/>
          <w:iCs/>
          <w:sz w:val="22"/>
          <w:szCs w:val="22"/>
          <w:lang w:val="sr-Cyrl-RS"/>
        </w:rPr>
      </w:pPr>
      <w:r w:rsidRPr="006F4BD2">
        <w:rPr>
          <w:rFonts w:ascii="Tahoma" w:hAnsi="Tahoma" w:cs="Tahoma"/>
          <w:bCs/>
          <w:iCs/>
          <w:sz w:val="22"/>
          <w:szCs w:val="22"/>
          <w:lang w:val="sr-Cyrl-RS"/>
        </w:rPr>
        <w:t xml:space="preserve">У области социјалне заштите поред националног нивоа и јединице локалне самоуправе обезбеђују поједине услуге и додељују различите врсте новчаних давања и помоћ у натури. </w:t>
      </w:r>
    </w:p>
    <w:p w14:paraId="4D658444" w14:textId="39D84105" w:rsidR="005937F3" w:rsidRPr="006F4BD2" w:rsidRDefault="005937F3" w:rsidP="007327A7">
      <w:pPr>
        <w:spacing w:after="160" w:line="259" w:lineRule="auto"/>
        <w:jc w:val="both"/>
        <w:rPr>
          <w:rFonts w:ascii="Tahoma" w:hAnsi="Tahoma" w:cs="Tahoma"/>
          <w:bCs/>
          <w:iCs/>
          <w:sz w:val="22"/>
          <w:szCs w:val="22"/>
          <w:lang w:val="sr-Cyrl-RS"/>
        </w:rPr>
      </w:pPr>
      <w:r w:rsidRPr="006F4BD2">
        <w:rPr>
          <w:rFonts w:ascii="Tahoma" w:hAnsi="Tahoma" w:cs="Tahoma"/>
          <w:bCs/>
          <w:iCs/>
          <w:sz w:val="22"/>
          <w:szCs w:val="22"/>
          <w:lang w:val="sr-Cyrl-RS"/>
        </w:rPr>
        <w:t xml:space="preserve">Међу </w:t>
      </w:r>
      <w:r w:rsidRPr="006F4BD2">
        <w:rPr>
          <w:rFonts w:ascii="Tahoma" w:hAnsi="Tahoma" w:cs="Tahoma"/>
          <w:b/>
          <w:iCs/>
          <w:color w:val="2F5496"/>
          <w:sz w:val="22"/>
          <w:szCs w:val="22"/>
          <w:lang w:val="sr-Cyrl-RS"/>
        </w:rPr>
        <w:t>услугама социјалне заштите у надлежности ЈЛС су</w:t>
      </w:r>
      <w:r w:rsidRPr="006F4BD2">
        <w:rPr>
          <w:rFonts w:ascii="Tahoma" w:hAnsi="Tahoma" w:cs="Tahoma"/>
          <w:bCs/>
          <w:iCs/>
          <w:sz w:val="22"/>
          <w:szCs w:val="22"/>
          <w:lang w:val="sr-Cyrl-RS"/>
        </w:rPr>
        <w:t>:</w:t>
      </w:r>
    </w:p>
    <w:p w14:paraId="4A90147F" w14:textId="69DCD6E3" w:rsidR="005937F3" w:rsidRPr="006F4BD2" w:rsidRDefault="005937F3" w:rsidP="007327A7">
      <w:pPr>
        <w:pStyle w:val="ListParagraph"/>
        <w:numPr>
          <w:ilvl w:val="0"/>
          <w:numId w:val="11"/>
        </w:numPr>
        <w:spacing w:after="160" w:line="259" w:lineRule="auto"/>
        <w:ind w:left="0" w:firstLine="0"/>
        <w:contextualSpacing w:val="0"/>
        <w:jc w:val="both"/>
        <w:rPr>
          <w:rFonts w:ascii="Tahoma" w:hAnsi="Tahoma" w:cs="Tahoma"/>
          <w:bCs/>
          <w:iCs/>
          <w:sz w:val="22"/>
          <w:szCs w:val="22"/>
          <w:lang w:val="sr-Cyrl-RS"/>
        </w:rPr>
      </w:pPr>
      <w:r w:rsidRPr="006F4BD2">
        <w:rPr>
          <w:rFonts w:ascii="Tahoma" w:hAnsi="Tahoma" w:cs="Tahoma"/>
          <w:bCs/>
          <w:iCs/>
          <w:color w:val="2F5496"/>
          <w:sz w:val="22"/>
          <w:szCs w:val="22"/>
          <w:lang w:val="sr-Cyrl-RS"/>
        </w:rPr>
        <w:t>Дневне услуге у заједници</w:t>
      </w:r>
      <w:r w:rsidRPr="006F4BD2">
        <w:rPr>
          <w:rFonts w:ascii="Tahoma" w:hAnsi="Tahoma" w:cs="Tahoma"/>
          <w:bCs/>
          <w:iCs/>
          <w:sz w:val="22"/>
          <w:szCs w:val="22"/>
          <w:lang w:val="sr-Cyrl-RS"/>
        </w:rPr>
        <w:t xml:space="preserve"> - дневни боравак, помоћ у кући, </w:t>
      </w:r>
      <w:r w:rsidRPr="006F4BD2">
        <w:rPr>
          <w:rFonts w:ascii="Tahoma" w:hAnsi="Tahoma" w:cs="Tahoma"/>
          <w:sz w:val="22"/>
          <w:szCs w:val="22"/>
          <w:lang w:val="sr-Cyrl-RS"/>
        </w:rPr>
        <w:t>лични</w:t>
      </w:r>
      <w:r w:rsidRPr="006F4BD2">
        <w:rPr>
          <w:rFonts w:ascii="Tahoma" w:hAnsi="Tahoma" w:cs="Tahoma"/>
          <w:bCs/>
          <w:iCs/>
          <w:sz w:val="22"/>
          <w:szCs w:val="22"/>
          <w:lang w:val="sr-Cyrl-RS"/>
        </w:rPr>
        <w:t xml:space="preserve"> пратилац детета и свратиште </w:t>
      </w:r>
    </w:p>
    <w:p w14:paraId="146F2647" w14:textId="4868A977" w:rsidR="005937F3" w:rsidRPr="006F4BD2" w:rsidRDefault="005937F3" w:rsidP="007327A7">
      <w:pPr>
        <w:pStyle w:val="ListParagraph"/>
        <w:numPr>
          <w:ilvl w:val="0"/>
          <w:numId w:val="11"/>
        </w:numPr>
        <w:spacing w:after="160" w:line="259" w:lineRule="auto"/>
        <w:ind w:left="0" w:firstLine="0"/>
        <w:contextualSpacing w:val="0"/>
        <w:jc w:val="both"/>
        <w:rPr>
          <w:rFonts w:ascii="Tahoma" w:hAnsi="Tahoma" w:cs="Tahoma"/>
          <w:bCs/>
          <w:iCs/>
          <w:sz w:val="22"/>
          <w:szCs w:val="22"/>
          <w:lang w:val="sr-Cyrl-RS"/>
        </w:rPr>
      </w:pPr>
      <w:r w:rsidRPr="006F4BD2">
        <w:rPr>
          <w:rFonts w:ascii="Tahoma" w:hAnsi="Tahoma" w:cs="Tahoma"/>
          <w:bCs/>
          <w:iCs/>
          <w:color w:val="2F5496"/>
          <w:sz w:val="22"/>
          <w:szCs w:val="22"/>
          <w:lang w:val="sr-Cyrl-RS"/>
        </w:rPr>
        <w:t xml:space="preserve">Услуге подршке за самостални живот </w:t>
      </w:r>
      <w:r w:rsidRPr="006F4BD2">
        <w:rPr>
          <w:rFonts w:ascii="Tahoma" w:hAnsi="Tahoma" w:cs="Tahoma"/>
          <w:bCs/>
          <w:iCs/>
          <w:sz w:val="22"/>
          <w:szCs w:val="22"/>
          <w:lang w:val="sr-Cyrl-RS"/>
        </w:rPr>
        <w:t>- персонална асистенција, становање уз подршку за младе који напуштају систем социјалне заштите и становање уз подршку за особе с инвалидитетом у ЈЛС које су према степену развијености изнад републичког просека</w:t>
      </w:r>
    </w:p>
    <w:p w14:paraId="071C38FB" w14:textId="39714497" w:rsidR="005937F3" w:rsidRPr="006F4BD2" w:rsidRDefault="005937F3" w:rsidP="007327A7">
      <w:pPr>
        <w:pStyle w:val="ListParagraph"/>
        <w:numPr>
          <w:ilvl w:val="0"/>
          <w:numId w:val="11"/>
        </w:numPr>
        <w:spacing w:after="160" w:line="259" w:lineRule="auto"/>
        <w:ind w:left="0" w:firstLine="0"/>
        <w:contextualSpacing w:val="0"/>
        <w:jc w:val="both"/>
        <w:rPr>
          <w:rFonts w:ascii="Tahoma" w:hAnsi="Tahoma" w:cs="Tahoma"/>
          <w:bCs/>
          <w:iCs/>
          <w:sz w:val="22"/>
          <w:szCs w:val="22"/>
          <w:lang w:val="sr-Cyrl-RS"/>
        </w:rPr>
      </w:pPr>
      <w:r w:rsidRPr="006F4BD2">
        <w:rPr>
          <w:rFonts w:ascii="Tahoma" w:hAnsi="Tahoma" w:cs="Tahoma"/>
          <w:bCs/>
          <w:iCs/>
          <w:color w:val="2F5496"/>
          <w:sz w:val="22"/>
          <w:szCs w:val="22"/>
          <w:lang w:val="sr-Cyrl-RS"/>
        </w:rPr>
        <w:t>Услуге смештаја</w:t>
      </w:r>
      <w:r w:rsidRPr="006F4BD2">
        <w:rPr>
          <w:rFonts w:ascii="Tahoma" w:hAnsi="Tahoma" w:cs="Tahoma"/>
          <w:bCs/>
          <w:iCs/>
          <w:sz w:val="22"/>
          <w:szCs w:val="22"/>
          <w:lang w:val="sr-Cyrl-RS"/>
        </w:rPr>
        <w:t xml:space="preserve"> - смештај у прихватилиште (за жртве насиља, жртве трговине људима) и предах смештај </w:t>
      </w:r>
    </w:p>
    <w:p w14:paraId="24438A4C" w14:textId="1E753410" w:rsidR="005937F3" w:rsidRPr="006F4BD2" w:rsidRDefault="005937F3" w:rsidP="007327A7">
      <w:pPr>
        <w:pStyle w:val="ListParagraph"/>
        <w:numPr>
          <w:ilvl w:val="0"/>
          <w:numId w:val="11"/>
        </w:numPr>
        <w:spacing w:after="160" w:line="259" w:lineRule="auto"/>
        <w:ind w:left="0" w:firstLine="0"/>
        <w:contextualSpacing w:val="0"/>
        <w:jc w:val="both"/>
        <w:rPr>
          <w:rFonts w:ascii="Tahoma" w:hAnsi="Tahoma" w:cs="Tahoma"/>
          <w:bCs/>
          <w:iCs/>
          <w:sz w:val="22"/>
          <w:szCs w:val="22"/>
          <w:lang w:val="sr-Cyrl-RS"/>
        </w:rPr>
      </w:pPr>
      <w:r w:rsidRPr="006F4BD2">
        <w:rPr>
          <w:rFonts w:ascii="Tahoma" w:hAnsi="Tahoma" w:cs="Tahoma"/>
          <w:bCs/>
          <w:iCs/>
          <w:color w:val="2F5496"/>
          <w:sz w:val="22"/>
          <w:szCs w:val="22"/>
          <w:lang w:val="sr-Cyrl-RS"/>
        </w:rPr>
        <w:t>Саветодавно-терапијске и социјално</w:t>
      </w:r>
      <w:r w:rsidR="00E60527" w:rsidRPr="006F4BD2">
        <w:rPr>
          <w:rFonts w:ascii="Tahoma" w:hAnsi="Tahoma" w:cs="Tahoma"/>
          <w:bCs/>
          <w:iCs/>
          <w:color w:val="2F5496"/>
          <w:sz w:val="22"/>
          <w:szCs w:val="22"/>
        </w:rPr>
        <w:t>-</w:t>
      </w:r>
      <w:r w:rsidRPr="006F4BD2">
        <w:rPr>
          <w:rFonts w:ascii="Tahoma" w:hAnsi="Tahoma" w:cs="Tahoma"/>
          <w:bCs/>
          <w:iCs/>
          <w:color w:val="2F5496"/>
          <w:sz w:val="22"/>
          <w:szCs w:val="22"/>
          <w:lang w:val="sr-Cyrl-RS"/>
        </w:rPr>
        <w:t>едукативне услуге</w:t>
      </w:r>
      <w:r w:rsidR="006F4BD2" w:rsidRPr="006F4BD2">
        <w:rPr>
          <w:rFonts w:ascii="Tahoma" w:hAnsi="Tahoma" w:cs="Tahoma"/>
          <w:bCs/>
          <w:iCs/>
          <w:color w:val="2F5496"/>
          <w:sz w:val="22"/>
          <w:szCs w:val="22"/>
          <w:lang w:val="sr-Cyrl-RS"/>
        </w:rPr>
        <w:t>.</w:t>
      </w:r>
    </w:p>
    <w:p w14:paraId="4E1D4346" w14:textId="7BA30285" w:rsidR="005937F3" w:rsidRPr="006F4BD2" w:rsidRDefault="005937F3" w:rsidP="007327A7">
      <w:pPr>
        <w:spacing w:after="160" w:line="259" w:lineRule="auto"/>
        <w:jc w:val="both"/>
        <w:rPr>
          <w:rFonts w:ascii="Tahoma" w:hAnsi="Tahoma" w:cs="Tahoma"/>
          <w:bCs/>
          <w:iCs/>
          <w:sz w:val="22"/>
          <w:szCs w:val="22"/>
          <w:lang w:val="sr-Cyrl-RS"/>
        </w:rPr>
      </w:pPr>
      <w:r w:rsidRPr="006F4BD2">
        <w:rPr>
          <w:rFonts w:ascii="Tahoma" w:hAnsi="Tahoma" w:cs="Tahoma"/>
          <w:bCs/>
          <w:iCs/>
          <w:sz w:val="22"/>
          <w:szCs w:val="22"/>
          <w:lang w:val="sr-Cyrl-RS"/>
        </w:rPr>
        <w:t xml:space="preserve">Међу социјалним давањима у надлежности ЈЛС је једнократна помоћ која се додељује у случају изненадног или тренутног стања социјалне потребе или евентуално при упућивању </w:t>
      </w:r>
      <w:r w:rsidR="004A70A7">
        <w:rPr>
          <w:rFonts w:ascii="Tahoma" w:hAnsi="Tahoma" w:cs="Tahoma"/>
          <w:bCs/>
          <w:iCs/>
          <w:sz w:val="22"/>
          <w:szCs w:val="22"/>
          <w:lang w:val="sr-Cyrl-RS"/>
        </w:rPr>
        <w:t xml:space="preserve">корисника </w:t>
      </w:r>
      <w:r w:rsidRPr="006F4BD2">
        <w:rPr>
          <w:rFonts w:ascii="Tahoma" w:hAnsi="Tahoma" w:cs="Tahoma"/>
          <w:bCs/>
          <w:iCs/>
          <w:sz w:val="22"/>
          <w:szCs w:val="22"/>
          <w:lang w:val="sr-Cyrl-RS"/>
        </w:rPr>
        <w:t>на услугу смештаја. Општине и градови обезбеђују и друге врсте помоћи (народне кухиње, субвенције</w:t>
      </w:r>
      <w:r w:rsidR="00C17C75" w:rsidRPr="006F4BD2">
        <w:rPr>
          <w:rFonts w:ascii="Tahoma" w:hAnsi="Tahoma" w:cs="Tahoma"/>
          <w:bCs/>
          <w:iCs/>
          <w:sz w:val="22"/>
          <w:szCs w:val="22"/>
          <w:lang w:val="sr-Cyrl-RS"/>
        </w:rPr>
        <w:t>, и др.</w:t>
      </w:r>
      <w:r w:rsidRPr="006F4BD2">
        <w:rPr>
          <w:rFonts w:ascii="Tahoma" w:hAnsi="Tahoma" w:cs="Tahoma"/>
          <w:bCs/>
          <w:iCs/>
          <w:sz w:val="22"/>
          <w:szCs w:val="22"/>
          <w:lang w:val="sr-Cyrl-RS"/>
        </w:rPr>
        <w:t>). ЈЛС пружају и материјалну подршку породицама са децом која се често додељује с</w:t>
      </w:r>
      <w:r w:rsidR="006F4BD2">
        <w:rPr>
          <w:rFonts w:ascii="Tahoma" w:hAnsi="Tahoma" w:cs="Tahoma"/>
          <w:bCs/>
          <w:iCs/>
          <w:sz w:val="22"/>
          <w:szCs w:val="22"/>
          <w:lang w:val="sr-Cyrl-RS"/>
        </w:rPr>
        <w:t>а</w:t>
      </w:r>
      <w:r w:rsidRPr="006F4BD2">
        <w:rPr>
          <w:rFonts w:ascii="Tahoma" w:hAnsi="Tahoma" w:cs="Tahoma"/>
          <w:bCs/>
          <w:iCs/>
          <w:sz w:val="22"/>
          <w:szCs w:val="22"/>
          <w:lang w:val="sr-Cyrl-RS"/>
        </w:rPr>
        <w:t xml:space="preserve"> циљем подстицања рађања (давања приликом рођења детета, помоћ незапосленим породиљама, давања родитељима близанаца и сл.).</w:t>
      </w:r>
    </w:p>
    <w:p w14:paraId="53AAC113" w14:textId="77777777" w:rsidR="005937F3" w:rsidRPr="00494602" w:rsidRDefault="005937F3" w:rsidP="007327A7">
      <w:pPr>
        <w:spacing w:after="160" w:line="259" w:lineRule="auto"/>
        <w:jc w:val="both"/>
        <w:rPr>
          <w:rFonts w:ascii="Tahoma" w:hAnsi="Tahoma" w:cs="Tahoma"/>
          <w:bCs/>
          <w:iCs/>
          <w:sz w:val="22"/>
          <w:szCs w:val="22"/>
          <w:lang w:val="sr-Latn-RS"/>
        </w:rPr>
      </w:pPr>
      <w:r w:rsidRPr="006F4BD2">
        <w:rPr>
          <w:rFonts w:ascii="Tahoma" w:hAnsi="Tahoma" w:cs="Tahoma"/>
          <w:bCs/>
          <w:iCs/>
          <w:sz w:val="22"/>
          <w:szCs w:val="22"/>
          <w:lang w:val="sr-Cyrl-RS"/>
        </w:rPr>
        <w:t>Локалне самоуправе финансирају и плате запослених у ЦСР који се старају о правима у надлежности локалног нивоа.</w:t>
      </w:r>
    </w:p>
    <w:p w14:paraId="3ADE9843" w14:textId="0D454853" w:rsidR="00317959" w:rsidRPr="000B29E2" w:rsidRDefault="00D23E8C" w:rsidP="00317959">
      <w:pPr>
        <w:spacing w:after="160" w:line="259" w:lineRule="auto"/>
        <w:jc w:val="both"/>
        <w:rPr>
          <w:rFonts w:ascii="Tahoma" w:hAnsi="Tahoma" w:cs="Tahoma"/>
          <w:bCs/>
          <w:iCs/>
          <w:strike/>
          <w:color w:val="FF0000"/>
          <w:sz w:val="22"/>
          <w:szCs w:val="22"/>
          <w:lang w:val="sr-Cyrl-RS"/>
        </w:rPr>
      </w:pPr>
      <w:r w:rsidRPr="004E6DAC">
        <w:rPr>
          <w:rFonts w:ascii="Tahoma" w:hAnsi="Tahoma" w:cs="Tahoma"/>
          <w:b/>
          <w:iCs/>
          <w:color w:val="2F5496" w:themeColor="accent1" w:themeShade="BF"/>
          <w:sz w:val="22"/>
          <w:szCs w:val="22"/>
          <w:lang w:val="sr-Cyrl-RS"/>
        </w:rPr>
        <w:t>П</w:t>
      </w:r>
      <w:r w:rsidR="005937F3" w:rsidRPr="004E6DAC">
        <w:rPr>
          <w:rFonts w:ascii="Tahoma" w:hAnsi="Tahoma" w:cs="Tahoma"/>
          <w:b/>
          <w:iCs/>
          <w:color w:val="2F5496" w:themeColor="accent1" w:themeShade="BF"/>
          <w:sz w:val="22"/>
          <w:szCs w:val="22"/>
          <w:lang w:val="sr-Cyrl-RS"/>
        </w:rPr>
        <w:t xml:space="preserve">рема подацима </w:t>
      </w:r>
      <w:r w:rsidR="0022524C" w:rsidRPr="004E6DAC">
        <w:rPr>
          <w:rFonts w:ascii="Tahoma" w:hAnsi="Tahoma" w:cs="Tahoma"/>
          <w:b/>
          <w:iCs/>
          <w:color w:val="2F5496" w:themeColor="accent1" w:themeShade="BF"/>
          <w:sz w:val="22"/>
          <w:szCs w:val="22"/>
          <w:lang w:val="sr-Cyrl-RS"/>
        </w:rPr>
        <w:t xml:space="preserve">СКГО </w:t>
      </w:r>
      <w:r w:rsidR="005937F3" w:rsidRPr="004E6DAC">
        <w:rPr>
          <w:rFonts w:ascii="Tahoma" w:hAnsi="Tahoma" w:cs="Tahoma"/>
          <w:b/>
          <w:iCs/>
          <w:color w:val="2F5496" w:themeColor="accent1" w:themeShade="BF"/>
          <w:sz w:val="22"/>
          <w:szCs w:val="22"/>
          <w:lang w:val="sr-Cyrl-RS"/>
        </w:rPr>
        <w:t xml:space="preserve">расходи за социјалну заштиту </w:t>
      </w:r>
      <w:r w:rsidR="0022524C" w:rsidRPr="004E6DAC">
        <w:rPr>
          <w:rFonts w:ascii="Tahoma" w:hAnsi="Tahoma" w:cs="Tahoma"/>
          <w:b/>
          <w:iCs/>
          <w:color w:val="2F5496" w:themeColor="accent1" w:themeShade="BF"/>
          <w:sz w:val="22"/>
          <w:szCs w:val="22"/>
          <w:lang w:val="sr-Cyrl-RS"/>
        </w:rPr>
        <w:t xml:space="preserve">2020. године </w:t>
      </w:r>
      <w:r w:rsidR="005937F3" w:rsidRPr="004E6DAC">
        <w:rPr>
          <w:rFonts w:ascii="Tahoma" w:hAnsi="Tahoma" w:cs="Tahoma"/>
          <w:b/>
          <w:iCs/>
          <w:color w:val="2F5496" w:themeColor="accent1" w:themeShade="BF"/>
          <w:sz w:val="22"/>
          <w:szCs w:val="22"/>
          <w:lang w:val="sr-Cyrl-RS"/>
        </w:rPr>
        <w:t xml:space="preserve">у </w:t>
      </w:r>
      <w:r w:rsidR="00431DAF" w:rsidRPr="004E6DAC">
        <w:rPr>
          <w:rFonts w:ascii="Tahoma" w:hAnsi="Tahoma" w:cs="Tahoma"/>
          <w:b/>
          <w:iCs/>
          <w:color w:val="2F5496" w:themeColor="accent1" w:themeShade="BF"/>
          <w:sz w:val="22"/>
          <w:szCs w:val="22"/>
          <w:lang w:val="sr-Cyrl-RS"/>
        </w:rPr>
        <w:t>општини Смедеревска Паланка</w:t>
      </w:r>
      <w:r w:rsidR="00BF02C8" w:rsidRPr="004E6DAC">
        <w:rPr>
          <w:rFonts w:ascii="Tahoma" w:hAnsi="Tahoma" w:cs="Tahoma"/>
          <w:b/>
          <w:iCs/>
          <w:color w:val="2F5496" w:themeColor="accent1" w:themeShade="BF"/>
          <w:sz w:val="22"/>
          <w:szCs w:val="22"/>
          <w:lang w:val="sr-Cyrl-RS"/>
        </w:rPr>
        <w:t xml:space="preserve"> су </w:t>
      </w:r>
      <w:r w:rsidR="000B29E2" w:rsidRPr="004E6DAC">
        <w:rPr>
          <w:rFonts w:ascii="Tahoma" w:hAnsi="Tahoma" w:cs="Tahoma"/>
          <w:b/>
          <w:iCs/>
          <w:color w:val="2F5496" w:themeColor="accent1" w:themeShade="BF"/>
          <w:sz w:val="22"/>
          <w:szCs w:val="22"/>
          <w:lang w:val="sr-Cyrl-RS"/>
        </w:rPr>
        <w:t>изно</w:t>
      </w:r>
      <w:r w:rsidR="005937F3" w:rsidRPr="004E6DAC">
        <w:rPr>
          <w:rFonts w:ascii="Tahoma" w:hAnsi="Tahoma" w:cs="Tahoma"/>
          <w:b/>
          <w:iCs/>
          <w:color w:val="2F5496" w:themeColor="accent1" w:themeShade="BF"/>
          <w:sz w:val="22"/>
          <w:szCs w:val="22"/>
          <w:lang w:val="sr-Cyrl-RS"/>
        </w:rPr>
        <w:t xml:space="preserve">сили  </w:t>
      </w:r>
      <w:r w:rsidR="00431DAF" w:rsidRPr="004E6DAC">
        <w:rPr>
          <w:rFonts w:ascii="Tahoma" w:hAnsi="Tahoma" w:cs="Tahoma"/>
          <w:b/>
          <w:iCs/>
          <w:color w:val="2F5496" w:themeColor="accent1" w:themeShade="BF"/>
          <w:sz w:val="22"/>
          <w:szCs w:val="22"/>
          <w:lang w:val="sr-Cyrl-RS"/>
        </w:rPr>
        <w:t>32</w:t>
      </w:r>
      <w:r w:rsidR="00A94BAC" w:rsidRPr="004E6DAC">
        <w:rPr>
          <w:rFonts w:ascii="Tahoma" w:hAnsi="Tahoma" w:cs="Tahoma"/>
          <w:b/>
          <w:iCs/>
          <w:color w:val="2F5496" w:themeColor="accent1" w:themeShade="BF"/>
          <w:sz w:val="22"/>
          <w:szCs w:val="22"/>
          <w:lang w:val="sr-Latn-RS"/>
        </w:rPr>
        <w:t>,</w:t>
      </w:r>
      <w:r w:rsidR="00431DAF" w:rsidRPr="004E6DAC">
        <w:rPr>
          <w:rFonts w:ascii="Tahoma" w:hAnsi="Tahoma" w:cs="Tahoma"/>
          <w:b/>
          <w:iCs/>
          <w:color w:val="2F5496" w:themeColor="accent1" w:themeShade="BF"/>
          <w:sz w:val="22"/>
          <w:szCs w:val="22"/>
          <w:lang w:val="sr-Cyrl-RS"/>
        </w:rPr>
        <w:t>4</w:t>
      </w:r>
      <w:r w:rsidR="00356A26" w:rsidRPr="004E6DAC">
        <w:rPr>
          <w:rFonts w:ascii="Tahoma" w:hAnsi="Tahoma" w:cs="Tahoma"/>
          <w:b/>
          <w:iCs/>
          <w:color w:val="2F5496" w:themeColor="accent1" w:themeShade="BF"/>
          <w:sz w:val="22"/>
          <w:szCs w:val="22"/>
          <w:lang w:val="sr-Latn-RS"/>
        </w:rPr>
        <w:t xml:space="preserve"> </w:t>
      </w:r>
      <w:r w:rsidR="005937F3" w:rsidRPr="004E6DAC">
        <w:rPr>
          <w:rFonts w:ascii="Tahoma" w:hAnsi="Tahoma" w:cs="Tahoma"/>
          <w:b/>
          <w:iCs/>
          <w:color w:val="2F5496" w:themeColor="accent1" w:themeShade="BF"/>
          <w:sz w:val="22"/>
          <w:szCs w:val="22"/>
          <w:lang w:val="sr-Cyrl-RS"/>
        </w:rPr>
        <w:t xml:space="preserve">милиона РСД. Удео расхода за социјалну </w:t>
      </w:r>
      <w:r w:rsidR="005937F3" w:rsidRPr="004E6DAC">
        <w:rPr>
          <w:rFonts w:ascii="Tahoma" w:hAnsi="Tahoma" w:cs="Tahoma"/>
          <w:b/>
          <w:iCs/>
          <w:color w:val="2F5496" w:themeColor="accent1" w:themeShade="BF"/>
          <w:sz w:val="22"/>
          <w:szCs w:val="22"/>
          <w:lang w:val="sr-Cyrl-RS"/>
        </w:rPr>
        <w:lastRenderedPageBreak/>
        <w:t xml:space="preserve">заштиту у </w:t>
      </w:r>
      <w:r w:rsidR="00736A47" w:rsidRPr="004E6DAC">
        <w:rPr>
          <w:rFonts w:ascii="Tahoma" w:hAnsi="Tahoma" w:cs="Tahoma"/>
          <w:b/>
          <w:iCs/>
          <w:color w:val="2F5496" w:themeColor="accent1" w:themeShade="BF"/>
          <w:sz w:val="22"/>
          <w:szCs w:val="22"/>
          <w:lang w:val="sr-Cyrl-RS"/>
        </w:rPr>
        <w:t xml:space="preserve">општинском </w:t>
      </w:r>
      <w:r w:rsidR="005937F3" w:rsidRPr="004E6DAC">
        <w:rPr>
          <w:rFonts w:ascii="Tahoma" w:hAnsi="Tahoma" w:cs="Tahoma"/>
          <w:b/>
          <w:iCs/>
          <w:color w:val="2F5496" w:themeColor="accent1" w:themeShade="BF"/>
          <w:sz w:val="22"/>
          <w:szCs w:val="22"/>
          <w:lang w:val="sr-Cyrl-RS"/>
        </w:rPr>
        <w:t xml:space="preserve">буџету је </w:t>
      </w:r>
      <w:r w:rsidR="00431DAF" w:rsidRPr="004E6DAC">
        <w:rPr>
          <w:rFonts w:ascii="Tahoma" w:hAnsi="Tahoma" w:cs="Tahoma"/>
          <w:b/>
          <w:iCs/>
          <w:color w:val="2F5496" w:themeColor="accent1" w:themeShade="BF"/>
          <w:sz w:val="22"/>
          <w:szCs w:val="22"/>
          <w:lang w:val="sr-Cyrl-RS"/>
        </w:rPr>
        <w:t>2</w:t>
      </w:r>
      <w:r w:rsidR="00A94BAC" w:rsidRPr="004E6DAC">
        <w:rPr>
          <w:rFonts w:ascii="Tahoma" w:hAnsi="Tahoma" w:cs="Tahoma"/>
          <w:b/>
          <w:iCs/>
          <w:color w:val="2F5496" w:themeColor="accent1" w:themeShade="BF"/>
          <w:sz w:val="22"/>
          <w:szCs w:val="22"/>
          <w:lang w:val="sr-Latn-RS"/>
        </w:rPr>
        <w:t>,</w:t>
      </w:r>
      <w:r w:rsidR="00431DAF" w:rsidRPr="004E6DAC">
        <w:rPr>
          <w:rFonts w:ascii="Tahoma" w:hAnsi="Tahoma" w:cs="Tahoma"/>
          <w:b/>
          <w:iCs/>
          <w:color w:val="2F5496" w:themeColor="accent1" w:themeShade="BF"/>
          <w:sz w:val="22"/>
          <w:szCs w:val="22"/>
          <w:lang w:val="sr-Cyrl-RS"/>
        </w:rPr>
        <w:t>8</w:t>
      </w:r>
      <w:r w:rsidR="00317959" w:rsidRPr="004E6DAC">
        <w:rPr>
          <w:rFonts w:ascii="Tahoma" w:hAnsi="Tahoma" w:cs="Tahoma"/>
          <w:b/>
          <w:iCs/>
          <w:color w:val="2F5496" w:themeColor="accent1" w:themeShade="BF"/>
          <w:sz w:val="22"/>
          <w:szCs w:val="22"/>
          <w:lang w:val="sr-Latn-RS"/>
        </w:rPr>
        <w:t xml:space="preserve">%. </w:t>
      </w:r>
      <w:r w:rsidR="00317959" w:rsidRPr="004E6DAC">
        <w:rPr>
          <w:rFonts w:ascii="Tahoma" w:hAnsi="Tahoma" w:cs="Tahoma"/>
          <w:bCs/>
          <w:iCs/>
          <w:color w:val="000000" w:themeColor="text1"/>
          <w:sz w:val="22"/>
          <w:szCs w:val="22"/>
          <w:lang w:val="sr-Cyrl-RS"/>
        </w:rPr>
        <w:t>У 2019. години одговарајући удео у јединица локалне самоуправе у Србији је према проценама</w:t>
      </w:r>
      <w:r w:rsidR="00317959">
        <w:rPr>
          <w:rFonts w:ascii="Tahoma" w:hAnsi="Tahoma" w:cs="Tahoma"/>
          <w:bCs/>
          <w:iCs/>
          <w:color w:val="000000" w:themeColor="text1"/>
          <w:sz w:val="22"/>
          <w:szCs w:val="22"/>
          <w:lang w:val="sr-Cyrl-RS"/>
        </w:rPr>
        <w:t xml:space="preserve"> </w:t>
      </w:r>
      <w:r w:rsidR="00317959" w:rsidRPr="00B14816">
        <w:rPr>
          <w:rFonts w:ascii="Tahoma" w:hAnsi="Tahoma" w:cs="Tahoma"/>
          <w:bCs/>
          <w:iCs/>
          <w:color w:val="000000" w:themeColor="text1"/>
          <w:sz w:val="22"/>
          <w:szCs w:val="22"/>
          <w:lang w:val="sr-Cyrl-RS"/>
        </w:rPr>
        <w:t xml:space="preserve">износио </w:t>
      </w:r>
      <w:r w:rsidR="00317959">
        <w:rPr>
          <w:rFonts w:ascii="Tahoma" w:hAnsi="Tahoma" w:cs="Tahoma"/>
          <w:bCs/>
          <w:iCs/>
          <w:color w:val="000000" w:themeColor="text1"/>
          <w:sz w:val="22"/>
          <w:szCs w:val="22"/>
          <w:lang w:val="sr-Cyrl-RS"/>
        </w:rPr>
        <w:t xml:space="preserve">између </w:t>
      </w:r>
      <w:r w:rsidR="00317959" w:rsidRPr="00B14816">
        <w:rPr>
          <w:rFonts w:ascii="Tahoma" w:hAnsi="Tahoma" w:cs="Tahoma"/>
          <w:bCs/>
          <w:iCs/>
          <w:color w:val="000000" w:themeColor="text1"/>
          <w:sz w:val="22"/>
          <w:szCs w:val="22"/>
          <w:lang w:val="sr-Cyrl-RS"/>
        </w:rPr>
        <w:t>5</w:t>
      </w:r>
      <w:r w:rsidR="00317959">
        <w:rPr>
          <w:rFonts w:ascii="Tahoma" w:hAnsi="Tahoma" w:cs="Tahoma"/>
          <w:bCs/>
          <w:iCs/>
          <w:color w:val="000000" w:themeColor="text1"/>
          <w:sz w:val="22"/>
          <w:szCs w:val="22"/>
          <w:lang w:val="sr-Cyrl-RS"/>
        </w:rPr>
        <w:t xml:space="preserve"> и 6</w:t>
      </w:r>
      <w:r w:rsidR="00317959" w:rsidRPr="00B14816">
        <w:rPr>
          <w:rFonts w:ascii="Tahoma" w:hAnsi="Tahoma" w:cs="Tahoma"/>
          <w:bCs/>
          <w:iCs/>
          <w:color w:val="000000" w:themeColor="text1"/>
          <w:sz w:val="22"/>
          <w:szCs w:val="22"/>
          <w:lang w:val="sr-Cyrl-RS"/>
        </w:rPr>
        <w:t>%.</w:t>
      </w:r>
    </w:p>
    <w:p w14:paraId="2EC87746" w14:textId="08840DCC" w:rsidR="00A94BAC" w:rsidRPr="00317959" w:rsidRDefault="00A94BAC" w:rsidP="00A94BAC">
      <w:pPr>
        <w:spacing w:after="160" w:line="259" w:lineRule="auto"/>
        <w:jc w:val="both"/>
        <w:rPr>
          <w:rFonts w:ascii="Tahoma" w:hAnsi="Tahoma" w:cs="Tahoma"/>
          <w:bCs/>
          <w:iCs/>
          <w:color w:val="000000" w:themeColor="text1"/>
          <w:sz w:val="22"/>
          <w:szCs w:val="22"/>
          <w:lang w:val="sr-Latn-RS"/>
        </w:rPr>
      </w:pPr>
    </w:p>
    <w:p w14:paraId="0C9EC95E" w14:textId="7EDF587A" w:rsidR="00FE22D7" w:rsidRPr="00E616D0" w:rsidRDefault="00170BDA" w:rsidP="00A94BAC">
      <w:pPr>
        <w:spacing w:after="160" w:line="259" w:lineRule="auto"/>
        <w:jc w:val="both"/>
        <w:rPr>
          <w:rFonts w:ascii="Tahoma" w:hAnsi="Tahoma" w:cs="Tahoma"/>
          <w:bCs/>
          <w:iCs/>
          <w:strike/>
          <w:color w:val="FF0000"/>
          <w:sz w:val="22"/>
          <w:szCs w:val="22"/>
          <w:lang w:val="sr-Latn-RS"/>
        </w:rPr>
      </w:pPr>
      <w:r>
        <w:rPr>
          <w:rFonts w:ascii="Tahoma" w:hAnsi="Tahoma" w:cs="Tahoma"/>
          <w:color w:val="000000" w:themeColor="text1"/>
          <w:sz w:val="22"/>
          <w:szCs w:val="22"/>
          <w:lang w:val="sr-Cyrl-RS"/>
        </w:rPr>
        <w:t>Од релевантних стратешких докумената општина је усвојила Локални акциони план за родну равноправност за период 2021-2025. године.</w:t>
      </w:r>
    </w:p>
    <w:p w14:paraId="72D2D756" w14:textId="77777777" w:rsidR="00097791" w:rsidRPr="00097791" w:rsidRDefault="00097791" w:rsidP="00097791">
      <w:pPr>
        <w:pStyle w:val="Heading3"/>
        <w:spacing w:before="0" w:after="160" w:line="259" w:lineRule="auto"/>
        <w:rPr>
          <w:rFonts w:ascii="Tahoma" w:hAnsi="Tahoma" w:cs="Tahoma"/>
          <w:b/>
          <w:bCs/>
          <w:color w:val="2F5496"/>
          <w:lang w:val="sr-Cyrl-RS"/>
        </w:rPr>
      </w:pPr>
      <w:r w:rsidRPr="00097791">
        <w:rPr>
          <w:rFonts w:ascii="Tahoma" w:hAnsi="Tahoma" w:cs="Tahoma"/>
          <w:b/>
          <w:bCs/>
          <w:color w:val="2F5496"/>
          <w:lang w:val="sr-Cyrl-RS"/>
        </w:rPr>
        <w:t>Услуге социјалне заштите у надлежности локалних самоуправа</w:t>
      </w:r>
    </w:p>
    <w:p w14:paraId="4CA0DCF7" w14:textId="6150E70F" w:rsidR="00744D73" w:rsidRPr="00744D73" w:rsidRDefault="00744D73" w:rsidP="00744D73">
      <w:pPr>
        <w:spacing w:after="160" w:line="259" w:lineRule="auto"/>
        <w:jc w:val="both"/>
        <w:rPr>
          <w:rFonts w:ascii="Tahoma" w:hAnsi="Tahoma" w:cs="Tahoma"/>
          <w:bCs/>
          <w:iCs/>
          <w:sz w:val="22"/>
          <w:szCs w:val="22"/>
          <w:lang w:val="sr-Cyrl-RS"/>
        </w:rPr>
      </w:pPr>
      <w:r w:rsidRPr="00DD1046">
        <w:rPr>
          <w:rFonts w:ascii="Tahoma" w:hAnsi="Tahoma" w:cs="Tahoma"/>
          <w:b/>
          <w:bCs/>
          <w:iCs/>
          <w:color w:val="2F5496" w:themeColor="accent1" w:themeShade="BF"/>
          <w:sz w:val="22"/>
          <w:szCs w:val="22"/>
          <w:lang w:val="sr-Cyrl-RS"/>
        </w:rPr>
        <w:t xml:space="preserve">Обим интервенције у области услуга социјалне заштите у надлежности ЈЛС у општини Смедеревска Паланка је </w:t>
      </w:r>
      <w:r w:rsidR="00DD1046">
        <w:rPr>
          <w:rFonts w:ascii="Tahoma" w:hAnsi="Tahoma" w:cs="Tahoma"/>
          <w:b/>
          <w:bCs/>
          <w:iCs/>
          <w:color w:val="2F5496" w:themeColor="accent1" w:themeShade="BF"/>
          <w:sz w:val="22"/>
          <w:szCs w:val="22"/>
          <w:lang w:val="sr-Cyrl-RS"/>
        </w:rPr>
        <w:t xml:space="preserve">врло </w:t>
      </w:r>
      <w:r w:rsidRPr="00DD1046">
        <w:rPr>
          <w:rFonts w:ascii="Tahoma" w:hAnsi="Tahoma" w:cs="Tahoma"/>
          <w:b/>
          <w:bCs/>
          <w:iCs/>
          <w:color w:val="2F5496" w:themeColor="accent1" w:themeShade="BF"/>
          <w:sz w:val="22"/>
          <w:szCs w:val="22"/>
          <w:lang w:val="sr-Cyrl-RS"/>
        </w:rPr>
        <w:t>мали</w:t>
      </w:r>
      <w:r w:rsidRPr="00DD1046">
        <w:rPr>
          <w:rFonts w:ascii="Tahoma" w:hAnsi="Tahoma" w:cs="Tahoma"/>
          <w:bCs/>
          <w:iCs/>
          <w:color w:val="2F5496" w:themeColor="accent1" w:themeShade="BF"/>
          <w:sz w:val="22"/>
          <w:szCs w:val="22"/>
          <w:lang w:val="sr-Cyrl-RS"/>
        </w:rPr>
        <w:t>.</w:t>
      </w:r>
      <w:r w:rsidRPr="00744D73">
        <w:rPr>
          <w:rFonts w:ascii="Tahoma" w:hAnsi="Tahoma" w:cs="Tahoma"/>
          <w:bCs/>
          <w:iCs/>
          <w:sz w:val="22"/>
          <w:szCs w:val="22"/>
          <w:lang w:val="sr-Cyrl-RS"/>
        </w:rPr>
        <w:t xml:space="preserve"> Удео укупних расхода за услуге социјалне заштите у буџету ЈЛС (0,62%) је </w:t>
      </w:r>
      <w:r w:rsidR="00DD1046">
        <w:rPr>
          <w:rFonts w:ascii="Tahoma" w:hAnsi="Tahoma" w:cs="Tahoma"/>
          <w:bCs/>
          <w:iCs/>
          <w:sz w:val="22"/>
          <w:szCs w:val="22"/>
          <w:lang w:val="sr-Cyrl-RS"/>
        </w:rPr>
        <w:t xml:space="preserve">двоструко </w:t>
      </w:r>
      <w:r w:rsidRPr="00744D73">
        <w:rPr>
          <w:rFonts w:ascii="Tahoma" w:hAnsi="Tahoma" w:cs="Tahoma"/>
          <w:bCs/>
          <w:iCs/>
          <w:sz w:val="22"/>
          <w:szCs w:val="22"/>
          <w:lang w:val="sr-Cyrl-RS"/>
        </w:rPr>
        <w:t>неповољнији од просека Србија-југ (1,26%) у 2018. години.</w:t>
      </w:r>
      <w:r w:rsidRPr="00744D73">
        <w:rPr>
          <w:rStyle w:val="FootnoteReference"/>
          <w:rFonts w:ascii="Tahoma" w:hAnsi="Tahoma" w:cs="Tahoma"/>
          <w:bCs/>
          <w:iCs/>
          <w:sz w:val="22"/>
          <w:szCs w:val="22"/>
          <w:lang w:val="sr-Cyrl-RS"/>
        </w:rPr>
        <w:footnoteReference w:id="5"/>
      </w:r>
      <w:r w:rsidRPr="00744D73">
        <w:rPr>
          <w:rFonts w:ascii="Tahoma" w:hAnsi="Tahoma" w:cs="Tahoma"/>
          <w:bCs/>
          <w:iCs/>
          <w:sz w:val="22"/>
          <w:szCs w:val="22"/>
          <w:lang w:val="sr-Cyrl-RS"/>
        </w:rPr>
        <w:t xml:space="preserve"> Укупни расходи за локалне услуге социјалне заштите у 2018. години су </w:t>
      </w:r>
      <w:r w:rsidRPr="002A1A31">
        <w:rPr>
          <w:rFonts w:ascii="Tahoma" w:hAnsi="Tahoma" w:cs="Tahoma"/>
          <w:bCs/>
          <w:iCs/>
          <w:sz w:val="22"/>
          <w:szCs w:val="22"/>
          <w:lang w:val="sr-Cyrl-RS"/>
        </w:rPr>
        <w:t xml:space="preserve">износили 8,2 милиона РСД, а расходи по </w:t>
      </w:r>
      <w:r w:rsidRPr="00825AA5">
        <w:rPr>
          <w:rFonts w:ascii="Tahoma" w:hAnsi="Tahoma" w:cs="Tahoma"/>
          <w:bCs/>
          <w:iCs/>
          <w:sz w:val="22"/>
          <w:szCs w:val="22"/>
          <w:lang w:val="sr-Cyrl-RS"/>
        </w:rPr>
        <w:t xml:space="preserve">становнику </w:t>
      </w:r>
      <w:r w:rsidR="002A1A31" w:rsidRPr="00825AA5">
        <w:rPr>
          <w:rFonts w:ascii="Tahoma" w:hAnsi="Tahoma" w:cs="Tahoma"/>
          <w:bCs/>
          <w:iCs/>
          <w:sz w:val="22"/>
          <w:szCs w:val="22"/>
          <w:lang w:val="sr-Latn-RS"/>
        </w:rPr>
        <w:t>176</w:t>
      </w:r>
      <w:r w:rsidRPr="00825AA5">
        <w:rPr>
          <w:rFonts w:ascii="Tahoma" w:hAnsi="Tahoma" w:cs="Tahoma"/>
          <w:bCs/>
          <w:iCs/>
          <w:sz w:val="22"/>
          <w:szCs w:val="22"/>
          <w:lang w:val="sr-Cyrl-RS"/>
        </w:rPr>
        <w:t xml:space="preserve"> РСД,</w:t>
      </w:r>
      <w:r w:rsidRPr="002A1A31">
        <w:rPr>
          <w:rFonts w:ascii="Tahoma" w:hAnsi="Tahoma" w:cs="Tahoma"/>
          <w:bCs/>
          <w:iCs/>
          <w:sz w:val="22"/>
          <w:szCs w:val="22"/>
          <w:lang w:val="sr-Cyrl-RS"/>
        </w:rPr>
        <w:t xml:space="preserve"> значајно</w:t>
      </w:r>
      <w:r w:rsidRPr="00744D73">
        <w:rPr>
          <w:rFonts w:ascii="Tahoma" w:hAnsi="Tahoma" w:cs="Tahoma"/>
          <w:bCs/>
          <w:iCs/>
          <w:sz w:val="22"/>
          <w:szCs w:val="22"/>
          <w:lang w:val="sr-Cyrl-RS"/>
        </w:rPr>
        <w:t xml:space="preserve"> ниже од просека Србија-југ (500 РСД).</w:t>
      </w:r>
      <w:r w:rsidRPr="00744D73">
        <w:rPr>
          <w:rStyle w:val="FootnoteReference"/>
          <w:rFonts w:ascii="Tahoma" w:hAnsi="Tahoma" w:cs="Tahoma"/>
          <w:bCs/>
          <w:iCs/>
          <w:sz w:val="22"/>
          <w:szCs w:val="22"/>
          <w:lang w:val="sr-Cyrl-RS"/>
        </w:rPr>
        <w:footnoteReference w:id="6"/>
      </w:r>
      <w:r w:rsidRPr="00744D73">
        <w:rPr>
          <w:rFonts w:ascii="Tahoma" w:hAnsi="Tahoma" w:cs="Tahoma"/>
          <w:bCs/>
          <w:iCs/>
          <w:sz w:val="22"/>
          <w:szCs w:val="22"/>
          <w:lang w:val="sr-Cyrl-RS"/>
        </w:rPr>
        <w:t xml:space="preserve"> Када се вредности индикатора поређају од најниже ка највишој, ранг општине Смедеревска Паланка према расходима по становнику је 18, а према уделу расхода 28 од 99 ЈЛС на подручју Србија-југ. </w:t>
      </w:r>
      <w:r w:rsidRPr="00DD1046">
        <w:rPr>
          <w:rFonts w:ascii="Tahoma" w:hAnsi="Tahoma" w:cs="Tahoma"/>
          <w:bCs/>
          <w:iCs/>
          <w:color w:val="000000" w:themeColor="text1"/>
          <w:sz w:val="22"/>
          <w:szCs w:val="22"/>
          <w:lang w:val="sr-Cyrl-RS"/>
        </w:rPr>
        <w:t>Из локалног буџета финансирано је 83% расхода за услуге, а остатак из донаторских средстава. Смедеревска Паланка у 2018. години није остварила приход од наменских трансфера иако припада ЈЛС чији је степен развијености испод републичког просек којима се ова средства додељују према Уредби о наменским трансферима у социјалној заштити</w:t>
      </w:r>
      <w:r w:rsidR="00DD1046" w:rsidRPr="00DD1046">
        <w:rPr>
          <w:rFonts w:ascii="Tahoma" w:hAnsi="Tahoma" w:cs="Tahoma"/>
          <w:bCs/>
          <w:iCs/>
          <w:color w:val="000000" w:themeColor="text1"/>
          <w:sz w:val="22"/>
          <w:szCs w:val="22"/>
          <w:lang w:val="sr-Cyrl-RS"/>
        </w:rPr>
        <w:t>.</w:t>
      </w:r>
      <w:r w:rsidRPr="00DD1046">
        <w:rPr>
          <w:rStyle w:val="FootnoteReference"/>
          <w:rFonts w:ascii="Tahoma" w:hAnsi="Tahoma" w:cs="Tahoma"/>
          <w:bCs/>
          <w:iCs/>
          <w:color w:val="000000" w:themeColor="text1"/>
          <w:sz w:val="22"/>
          <w:szCs w:val="22"/>
          <w:lang w:val="sr-Cyrl-RS"/>
        </w:rPr>
        <w:footnoteReference w:id="7"/>
      </w:r>
      <w:r w:rsidRPr="00DD1046">
        <w:rPr>
          <w:rFonts w:ascii="Tahoma" w:hAnsi="Tahoma" w:cs="Tahoma"/>
          <w:bCs/>
          <w:iCs/>
          <w:color w:val="000000" w:themeColor="text1"/>
          <w:sz w:val="22"/>
          <w:szCs w:val="22"/>
          <w:lang w:val="sr-Cyrl-RS"/>
        </w:rPr>
        <w:t xml:space="preserve"> </w:t>
      </w:r>
    </w:p>
    <w:p w14:paraId="5249CF43" w14:textId="52629645" w:rsidR="00744D73" w:rsidRPr="00DD1046" w:rsidRDefault="00744D73" w:rsidP="00744D73">
      <w:pPr>
        <w:spacing w:after="160" w:line="259" w:lineRule="auto"/>
        <w:jc w:val="both"/>
        <w:rPr>
          <w:rFonts w:ascii="Tahoma" w:hAnsi="Tahoma" w:cs="Tahoma"/>
          <w:color w:val="2F5496" w:themeColor="accent1" w:themeShade="BF"/>
          <w:sz w:val="22"/>
          <w:szCs w:val="22"/>
          <w:lang w:val="sr-Cyrl-RS"/>
        </w:rPr>
      </w:pPr>
      <w:r w:rsidRPr="00DD1046">
        <w:rPr>
          <w:rFonts w:ascii="Tahoma" w:hAnsi="Tahoma" w:cs="Tahoma"/>
          <w:b/>
          <w:color w:val="2F5496" w:themeColor="accent1" w:themeShade="BF"/>
          <w:sz w:val="22"/>
          <w:szCs w:val="22"/>
          <w:lang w:val="sr-Cyrl-RS"/>
        </w:rPr>
        <w:t>У 2015. години укупни расходи за услуге из локалног буџета су износили 9,3 милиона са сличним уделом у локалном буџету (0,68%) и расходима по становнику (192 РСД) као и у 2018.</w:t>
      </w:r>
      <w:r w:rsidR="00DD1046" w:rsidRPr="00DD1046">
        <w:rPr>
          <w:rStyle w:val="FootnoteReference"/>
          <w:rFonts w:ascii="Tahoma" w:hAnsi="Tahoma" w:cs="Tahoma"/>
          <w:b/>
          <w:color w:val="2F5496" w:themeColor="accent1" w:themeShade="BF"/>
          <w:sz w:val="22"/>
          <w:szCs w:val="22"/>
          <w:lang w:val="sr-Cyrl-RS"/>
        </w:rPr>
        <w:footnoteReference w:id="8"/>
      </w:r>
      <w:r w:rsidR="00570032">
        <w:rPr>
          <w:rFonts w:ascii="Tahoma" w:hAnsi="Tahoma" w:cs="Tahoma"/>
          <w:b/>
          <w:color w:val="2F5496" w:themeColor="accent1" w:themeShade="BF"/>
          <w:sz w:val="22"/>
          <w:szCs w:val="22"/>
          <w:lang w:val="sr-Cyrl-RS"/>
        </w:rPr>
        <w:t xml:space="preserve"> </w:t>
      </w:r>
    </w:p>
    <w:p w14:paraId="74A12DE1" w14:textId="32705092" w:rsidR="00744D73" w:rsidRPr="00744D73" w:rsidRDefault="00744D73" w:rsidP="00744D73">
      <w:pPr>
        <w:shd w:val="clear" w:color="auto" w:fill="D9E2F3" w:themeFill="accent1" w:themeFillTint="33"/>
        <w:spacing w:after="160" w:line="259" w:lineRule="auto"/>
        <w:jc w:val="both"/>
        <w:rPr>
          <w:rFonts w:ascii="Tahoma" w:hAnsi="Tahoma" w:cs="Tahoma"/>
          <w:b/>
          <w:color w:val="1F3864" w:themeColor="accent1" w:themeShade="80"/>
          <w:sz w:val="22"/>
          <w:szCs w:val="22"/>
          <w:lang w:val="sr-Cyrl-RS"/>
        </w:rPr>
      </w:pPr>
      <w:r w:rsidRPr="00744D73">
        <w:rPr>
          <w:rFonts w:ascii="Tahoma" w:hAnsi="Tahoma" w:cs="Tahoma"/>
          <w:b/>
          <w:color w:val="1F3864" w:themeColor="accent1" w:themeShade="80"/>
          <w:sz w:val="22"/>
          <w:szCs w:val="22"/>
          <w:lang w:val="sr-Cyrl-RS"/>
        </w:rPr>
        <w:t>Бокс 4</w:t>
      </w:r>
      <w:r w:rsidR="006E0167">
        <w:rPr>
          <w:rFonts w:ascii="Tahoma" w:hAnsi="Tahoma" w:cs="Tahoma"/>
          <w:b/>
          <w:color w:val="1F3864" w:themeColor="accent1" w:themeShade="80"/>
          <w:sz w:val="22"/>
          <w:szCs w:val="22"/>
          <w:lang w:val="sr-Latn-RS"/>
        </w:rPr>
        <w:t>.</w:t>
      </w:r>
      <w:r w:rsidRPr="00744D73">
        <w:rPr>
          <w:rFonts w:ascii="Tahoma" w:hAnsi="Tahoma" w:cs="Tahoma"/>
          <w:b/>
          <w:color w:val="1F3864" w:themeColor="accent1" w:themeShade="80"/>
          <w:sz w:val="22"/>
          <w:szCs w:val="22"/>
          <w:lang w:val="sr-Cyrl-RS"/>
        </w:rPr>
        <w:t xml:space="preserve"> Индикатори обима интервенције и величине програма </w:t>
      </w:r>
    </w:p>
    <w:p w14:paraId="666A0A32" w14:textId="77777777" w:rsidR="00744D73" w:rsidRPr="00744D73" w:rsidRDefault="00744D73" w:rsidP="00744D73">
      <w:pPr>
        <w:shd w:val="clear" w:color="auto" w:fill="D9E2F3" w:themeFill="accent1" w:themeFillTint="33"/>
        <w:spacing w:after="160" w:line="259" w:lineRule="auto"/>
        <w:jc w:val="both"/>
        <w:rPr>
          <w:rFonts w:ascii="Tahoma" w:hAnsi="Tahoma" w:cs="Tahoma"/>
          <w:sz w:val="22"/>
          <w:szCs w:val="22"/>
          <w:lang w:val="sr-Cyrl-RS"/>
        </w:rPr>
      </w:pPr>
      <w:r w:rsidRPr="00744D73">
        <w:rPr>
          <w:rFonts w:ascii="Tahoma" w:hAnsi="Tahoma" w:cs="Tahoma"/>
          <w:bCs/>
          <w:sz w:val="22"/>
          <w:szCs w:val="22"/>
          <w:lang w:val="sr-Cyrl-RS"/>
        </w:rPr>
        <w:t>Индикатори обима интервенције</w:t>
      </w:r>
      <w:r w:rsidRPr="00744D73">
        <w:rPr>
          <w:rFonts w:ascii="Tahoma" w:hAnsi="Tahoma" w:cs="Tahoma"/>
          <w:sz w:val="22"/>
          <w:szCs w:val="22"/>
          <w:lang w:val="sr-Cyrl-RS"/>
        </w:rPr>
        <w:t xml:space="preserve"> су расходи за услуге социјалне заштите у мандату ЈЛС, расходи по становнику и удео расхода за услуге социјалне заштите у мандату ЈЛС у локалном буџету.</w:t>
      </w:r>
    </w:p>
    <w:p w14:paraId="0D160AF1" w14:textId="77777777" w:rsidR="00744D73" w:rsidRPr="00744D73" w:rsidRDefault="00744D73" w:rsidP="00744D73">
      <w:pPr>
        <w:shd w:val="clear" w:color="auto" w:fill="D9E2F3" w:themeFill="accent1" w:themeFillTint="33"/>
        <w:spacing w:after="160" w:line="259" w:lineRule="auto"/>
        <w:jc w:val="both"/>
        <w:rPr>
          <w:rFonts w:ascii="Tahoma" w:hAnsi="Tahoma" w:cs="Tahoma"/>
          <w:sz w:val="22"/>
          <w:szCs w:val="22"/>
          <w:lang w:val="sr-Cyrl-RS"/>
        </w:rPr>
      </w:pPr>
      <w:r w:rsidRPr="00744D73">
        <w:rPr>
          <w:rFonts w:ascii="Tahoma" w:hAnsi="Tahoma" w:cs="Tahoma"/>
          <w:sz w:val="22"/>
          <w:szCs w:val="22"/>
          <w:lang w:val="sr-Cyrl-RS"/>
        </w:rPr>
        <w:t xml:space="preserve">Индикатори величине програма су број корисника и еквивалентан број корисника.  </w:t>
      </w:r>
      <w:r w:rsidRPr="00744D73">
        <w:rPr>
          <w:rFonts w:ascii="Tahoma" w:hAnsi="Tahoma" w:cs="Tahoma"/>
          <w:bCs/>
          <w:sz w:val="22"/>
          <w:szCs w:val="22"/>
          <w:lang w:val="sr-Cyrl-RS"/>
        </w:rPr>
        <w:t>Еквивалентан број корисника</w:t>
      </w:r>
      <w:r w:rsidRPr="00744D73">
        <w:rPr>
          <w:rFonts w:ascii="Tahoma" w:hAnsi="Tahoma" w:cs="Tahoma"/>
          <w:sz w:val="22"/>
          <w:szCs w:val="22"/>
          <w:lang w:val="sr-Cyrl-RS"/>
        </w:rPr>
        <w:t xml:space="preserve"> </w:t>
      </w:r>
      <w:r w:rsidRPr="00744D73">
        <w:rPr>
          <w:rFonts w:ascii="Tahoma" w:hAnsi="Tahoma" w:cs="Tahoma"/>
          <w:bCs/>
          <w:sz w:val="22"/>
          <w:szCs w:val="22"/>
          <w:lang w:val="sr-Cyrl-RS"/>
        </w:rPr>
        <w:t>се рачуна</w:t>
      </w:r>
      <w:r w:rsidRPr="00744D73">
        <w:rPr>
          <w:rFonts w:ascii="Tahoma" w:hAnsi="Tahoma" w:cs="Tahoma"/>
          <w:sz w:val="22"/>
          <w:szCs w:val="22"/>
          <w:lang w:val="sr-Cyrl-RS"/>
        </w:rPr>
        <w:t xml:space="preserve"> на основу претпоставке о једнаком интензитету пружања услуге свим корисницима у свим ЈЛС, по моделу пет дана недељно 2 сата дневно током 12 месеци у континуитету. Тако се, на пример, стваран број корисника у датој ЈЛС умањује два пута ако се услуга пружа током целе године, пет дана недељно, али само 1 сат </w:t>
      </w:r>
      <w:r w:rsidRPr="00744D73">
        <w:rPr>
          <w:rFonts w:ascii="Tahoma" w:hAnsi="Tahoma" w:cs="Tahoma"/>
          <w:sz w:val="22"/>
          <w:szCs w:val="22"/>
          <w:lang w:val="sr-Cyrl-RS"/>
        </w:rPr>
        <w:lastRenderedPageBreak/>
        <w:t xml:space="preserve">дневно. Такође се стваран број корисника умањује два пута ако се услуга пружа 2 сата дневно сваког радног дана, али се пружа само током 6 месеци. </w:t>
      </w:r>
    </w:p>
    <w:p w14:paraId="21AE6CCF" w14:textId="77777777" w:rsidR="00744D73" w:rsidRPr="00F1398E" w:rsidRDefault="00744D73" w:rsidP="00744D73">
      <w:pPr>
        <w:spacing w:after="160" w:line="259" w:lineRule="auto"/>
        <w:jc w:val="both"/>
        <w:rPr>
          <w:rFonts w:ascii="Tahoma" w:hAnsi="Tahoma" w:cs="Tahoma"/>
          <w:color w:val="2F5496" w:themeColor="accent1" w:themeShade="BF"/>
          <w:sz w:val="22"/>
          <w:szCs w:val="22"/>
          <w:lang w:val="sr-Cyrl-RS"/>
        </w:rPr>
      </w:pPr>
      <w:r w:rsidRPr="00F1398E">
        <w:rPr>
          <w:rFonts w:ascii="Tahoma" w:hAnsi="Tahoma" w:cs="Tahoma"/>
          <w:b/>
          <w:color w:val="2F5496" w:themeColor="accent1" w:themeShade="BF"/>
          <w:sz w:val="22"/>
          <w:szCs w:val="22"/>
          <w:lang w:val="sr-Cyrl-RS"/>
        </w:rPr>
        <w:t>У 2018. години у Смедеревској Паланци се обезбеђивала услуга дневног боравка и то за циљне групе деце и младих и одраслих особа</w:t>
      </w:r>
      <w:r w:rsidRPr="00F1398E">
        <w:rPr>
          <w:rFonts w:ascii="Tahoma" w:hAnsi="Tahoma" w:cs="Tahoma"/>
          <w:color w:val="2F5496" w:themeColor="accent1" w:themeShade="BF"/>
          <w:sz w:val="22"/>
          <w:szCs w:val="22"/>
          <w:lang w:val="sr-Cyrl-RS"/>
        </w:rPr>
        <w:t xml:space="preserve">. </w:t>
      </w:r>
    </w:p>
    <w:p w14:paraId="3B910FF3" w14:textId="46292A61" w:rsidR="00744D73" w:rsidRPr="00744D73" w:rsidRDefault="00744D73" w:rsidP="00744D73">
      <w:pPr>
        <w:spacing w:after="160" w:line="259" w:lineRule="auto"/>
        <w:jc w:val="both"/>
        <w:rPr>
          <w:rFonts w:ascii="Tahoma" w:hAnsi="Tahoma" w:cs="Tahoma"/>
          <w:bCs/>
          <w:iCs/>
          <w:color w:val="000000" w:themeColor="text1"/>
          <w:sz w:val="22"/>
          <w:szCs w:val="22"/>
          <w:lang w:val="sr-Cyrl-RS"/>
        </w:rPr>
      </w:pPr>
      <w:r w:rsidRPr="00F1398E">
        <w:rPr>
          <w:rFonts w:ascii="Tahoma" w:hAnsi="Tahoma" w:cs="Tahoma"/>
          <w:b/>
          <w:color w:val="2F5496" w:themeColor="accent1" w:themeShade="BF"/>
          <w:sz w:val="22"/>
          <w:szCs w:val="22"/>
          <w:lang w:val="sr-Cyrl-RS"/>
        </w:rPr>
        <w:t>Услуга дневног боравка за децу</w:t>
      </w:r>
      <w:r w:rsidRPr="00F1398E">
        <w:rPr>
          <w:rFonts w:ascii="Tahoma" w:hAnsi="Tahoma" w:cs="Tahoma"/>
          <w:color w:val="2F5496" w:themeColor="accent1" w:themeShade="BF"/>
          <w:sz w:val="22"/>
          <w:szCs w:val="22"/>
          <w:lang w:val="sr-Cyrl-RS"/>
        </w:rPr>
        <w:t xml:space="preserve"> </w:t>
      </w:r>
      <w:r w:rsidR="00C034CA" w:rsidRPr="00C034CA">
        <w:rPr>
          <w:rFonts w:ascii="Tahoma" w:hAnsi="Tahoma" w:cs="Tahoma"/>
          <w:b/>
          <w:bCs/>
          <w:color w:val="2F5496" w:themeColor="accent1" w:themeShade="BF"/>
          <w:sz w:val="22"/>
          <w:szCs w:val="22"/>
          <w:lang w:val="sr-Cyrl-RS"/>
        </w:rPr>
        <w:t>са сметњама у развоју</w:t>
      </w:r>
      <w:r w:rsidR="00C034CA">
        <w:rPr>
          <w:rFonts w:ascii="Tahoma" w:hAnsi="Tahoma" w:cs="Tahoma"/>
          <w:color w:val="2F5496" w:themeColor="accent1" w:themeShade="BF"/>
          <w:sz w:val="22"/>
          <w:szCs w:val="22"/>
          <w:lang w:val="sr-Cyrl-RS"/>
        </w:rPr>
        <w:t xml:space="preserve"> </w:t>
      </w:r>
      <w:r w:rsidRPr="00744D73">
        <w:rPr>
          <w:rFonts w:ascii="Tahoma" w:hAnsi="Tahoma" w:cs="Tahoma"/>
          <w:sz w:val="22"/>
          <w:szCs w:val="22"/>
          <w:lang w:val="sr-Cyrl-RS"/>
        </w:rPr>
        <w:t xml:space="preserve">се у општини пружа </w:t>
      </w:r>
      <w:r w:rsidR="00F1398E">
        <w:rPr>
          <w:rFonts w:ascii="Tahoma" w:hAnsi="Tahoma" w:cs="Tahoma"/>
          <w:sz w:val="22"/>
          <w:szCs w:val="22"/>
          <w:lang w:val="sr-Cyrl-RS"/>
        </w:rPr>
        <w:t xml:space="preserve">већ </w:t>
      </w:r>
      <w:r w:rsidRPr="00744D73">
        <w:rPr>
          <w:rFonts w:ascii="Tahoma" w:hAnsi="Tahoma" w:cs="Tahoma"/>
          <w:sz w:val="22"/>
          <w:szCs w:val="22"/>
          <w:lang w:val="sr-Cyrl-RS"/>
        </w:rPr>
        <w:t>14 година</w:t>
      </w:r>
      <w:r w:rsidR="00F1398E">
        <w:rPr>
          <w:rFonts w:ascii="Tahoma" w:hAnsi="Tahoma" w:cs="Tahoma"/>
          <w:sz w:val="22"/>
          <w:szCs w:val="22"/>
          <w:lang w:val="sr-Cyrl-RS"/>
        </w:rPr>
        <w:t>.</w:t>
      </w:r>
      <w:r w:rsidRPr="00F1398E">
        <w:rPr>
          <w:rStyle w:val="FootnoteReference"/>
          <w:rFonts w:ascii="Tahoma" w:hAnsi="Tahoma" w:cs="Tahoma"/>
          <w:color w:val="000000" w:themeColor="text1"/>
          <w:sz w:val="22"/>
          <w:szCs w:val="22"/>
          <w:lang w:val="sr-Cyrl-RS"/>
        </w:rPr>
        <w:footnoteReference w:id="9"/>
      </w:r>
      <w:r w:rsidRPr="00F1398E">
        <w:rPr>
          <w:rFonts w:ascii="Tahoma" w:hAnsi="Tahoma" w:cs="Tahoma"/>
          <w:color w:val="000000" w:themeColor="text1"/>
          <w:sz w:val="22"/>
          <w:szCs w:val="22"/>
          <w:lang w:val="sr-Cyrl-RS"/>
        </w:rPr>
        <w:t xml:space="preserve"> </w:t>
      </w:r>
      <w:r w:rsidRPr="00744D73">
        <w:rPr>
          <w:rFonts w:ascii="Tahoma" w:hAnsi="Tahoma" w:cs="Tahoma"/>
          <w:sz w:val="22"/>
          <w:szCs w:val="22"/>
          <w:lang w:val="sr-Cyrl-RS"/>
        </w:rPr>
        <w:t xml:space="preserve">Током 2018. године услугу дневног боравка за децу и младе </w:t>
      </w:r>
      <w:r w:rsidR="00F1398E">
        <w:rPr>
          <w:rFonts w:ascii="Tahoma" w:hAnsi="Tahoma" w:cs="Tahoma"/>
          <w:sz w:val="22"/>
          <w:szCs w:val="22"/>
          <w:lang w:val="sr-Cyrl-RS"/>
        </w:rPr>
        <w:t xml:space="preserve">је </w:t>
      </w:r>
      <w:r w:rsidRPr="00744D73">
        <w:rPr>
          <w:rFonts w:ascii="Tahoma" w:hAnsi="Tahoma" w:cs="Tahoma"/>
          <w:sz w:val="22"/>
          <w:szCs w:val="22"/>
          <w:lang w:val="sr-Cyrl-RS"/>
        </w:rPr>
        <w:t>користи</w:t>
      </w:r>
      <w:r w:rsidR="00F1398E">
        <w:rPr>
          <w:rFonts w:ascii="Tahoma" w:hAnsi="Tahoma" w:cs="Tahoma"/>
          <w:sz w:val="22"/>
          <w:szCs w:val="22"/>
          <w:lang w:val="sr-Cyrl-RS"/>
        </w:rPr>
        <w:t>ло</w:t>
      </w:r>
      <w:r w:rsidRPr="00744D73">
        <w:rPr>
          <w:rFonts w:ascii="Tahoma" w:hAnsi="Tahoma" w:cs="Tahoma"/>
          <w:sz w:val="22"/>
          <w:szCs w:val="22"/>
          <w:lang w:val="sr-Cyrl-RS"/>
        </w:rPr>
        <w:t xml:space="preserve"> само </w:t>
      </w:r>
      <w:r w:rsidR="00F1398E">
        <w:rPr>
          <w:rFonts w:ascii="Tahoma" w:hAnsi="Tahoma" w:cs="Tahoma"/>
          <w:sz w:val="22"/>
          <w:szCs w:val="22"/>
          <w:lang w:val="sr-Cyrl-RS"/>
        </w:rPr>
        <w:t>четворо</w:t>
      </w:r>
      <w:r w:rsidRPr="00744D73">
        <w:rPr>
          <w:rFonts w:ascii="Tahoma" w:hAnsi="Tahoma" w:cs="Tahoma"/>
          <w:sz w:val="22"/>
          <w:szCs w:val="22"/>
          <w:lang w:val="sr-Cyrl-RS"/>
        </w:rPr>
        <w:t xml:space="preserve"> корисника, двоје узраста до 18, а двоје од 18 до 25 година. Сви корисници су мушког пола и претежно из градске средине. Услуга се пружа свих 12 месеци, 8 сати пет дана недељно. Доступност услуге је неповољнија у односу на просек подручја Србија-југ. </w:t>
      </w:r>
      <w:r w:rsidRPr="00744D73">
        <w:rPr>
          <w:rFonts w:ascii="Tahoma" w:hAnsi="Tahoma" w:cs="Tahoma"/>
          <w:bCs/>
          <w:iCs/>
          <w:color w:val="000000" w:themeColor="text1"/>
          <w:sz w:val="22"/>
          <w:szCs w:val="22"/>
          <w:lang w:val="sr-Cyrl-RS"/>
        </w:rPr>
        <w:t>Општа стопа доступности (ОСО), један од индикатора учинка у 2018. години је износила 0,03%</w:t>
      </w:r>
      <w:r w:rsidRPr="00744D73">
        <w:rPr>
          <w:rFonts w:ascii="Tahoma" w:hAnsi="Tahoma" w:cs="Tahoma"/>
          <w:bCs/>
          <w:iCs/>
          <w:color w:val="000000" w:themeColor="text1"/>
          <w:sz w:val="22"/>
          <w:szCs w:val="22"/>
          <w:vertAlign w:val="superscript"/>
        </w:rPr>
        <w:footnoteReference w:id="10"/>
      </w:r>
      <w:r w:rsidRPr="00744D73">
        <w:rPr>
          <w:rFonts w:ascii="Tahoma" w:hAnsi="Tahoma" w:cs="Tahoma"/>
          <w:bCs/>
          <w:iCs/>
          <w:color w:val="000000" w:themeColor="text1"/>
          <w:sz w:val="22"/>
          <w:szCs w:val="22"/>
          <w:lang w:val="sr-Cyrl-RS"/>
        </w:rPr>
        <w:t xml:space="preserve"> и ни</w:t>
      </w:r>
      <w:r w:rsidR="00C034CA">
        <w:rPr>
          <w:rFonts w:ascii="Tahoma" w:hAnsi="Tahoma" w:cs="Tahoma"/>
          <w:bCs/>
          <w:iCs/>
          <w:color w:val="000000" w:themeColor="text1"/>
          <w:sz w:val="22"/>
          <w:szCs w:val="22"/>
          <w:lang w:val="sr-Cyrl-RS"/>
        </w:rPr>
        <w:t>ска је</w:t>
      </w:r>
      <w:r w:rsidRPr="00744D73">
        <w:rPr>
          <w:rFonts w:ascii="Tahoma" w:hAnsi="Tahoma" w:cs="Tahoma"/>
          <w:bCs/>
          <w:iCs/>
          <w:color w:val="000000" w:themeColor="text1"/>
          <w:sz w:val="22"/>
          <w:szCs w:val="22"/>
          <w:lang w:val="sr-Cyrl-RS"/>
        </w:rPr>
        <w:t xml:space="preserve"> у односу на просек Србија–југ од 0,16% (Табела 6).</w:t>
      </w:r>
      <w:r w:rsidRPr="00744D73">
        <w:rPr>
          <w:rStyle w:val="FootnoteReference"/>
          <w:rFonts w:ascii="Tahoma" w:hAnsi="Tahoma" w:cs="Tahoma"/>
          <w:bCs/>
          <w:iCs/>
          <w:color w:val="000000" w:themeColor="text1"/>
          <w:sz w:val="22"/>
          <w:szCs w:val="22"/>
          <w:lang w:val="sr-Cyrl-RS"/>
        </w:rPr>
        <w:footnoteReference w:id="11"/>
      </w:r>
      <w:r w:rsidRPr="00744D73">
        <w:rPr>
          <w:rFonts w:ascii="Tahoma" w:hAnsi="Tahoma" w:cs="Tahoma"/>
          <w:bCs/>
          <w:iCs/>
          <w:color w:val="000000" w:themeColor="text1"/>
          <w:sz w:val="22"/>
          <w:szCs w:val="22"/>
          <w:lang w:val="sr-Cyrl-RS"/>
        </w:rPr>
        <w:t xml:space="preserve"> Слична разлика се уочава и код другог индикатора учинка за доступност услуге, хипотетичке стопе обухвата (ХСО), на основу еквивалентног броја корисника, 0,03% и 0,14% респективно. У Смедеревској Паланци су обе стопе једнаке вредности, јер дневни боравак ради пуно радно време од 8 сати и пружа се током целе године у континуитету. Укупни расходи за ову услугу су износили 2 милиона РСД у 2018. и превасходно су финансирани из локалног буџета (84%) а остатак је обезбеђен из донаторских средстава. </w:t>
      </w:r>
    </w:p>
    <w:p w14:paraId="471DB372" w14:textId="77777777" w:rsidR="00744D73" w:rsidRPr="00744D73" w:rsidRDefault="00744D73" w:rsidP="00744D73">
      <w:pPr>
        <w:spacing w:after="160" w:line="259" w:lineRule="auto"/>
        <w:jc w:val="both"/>
        <w:rPr>
          <w:rFonts w:ascii="Tahoma" w:hAnsi="Tahoma" w:cs="Tahoma"/>
          <w:bCs/>
          <w:iCs/>
          <w:color w:val="000000" w:themeColor="text1"/>
          <w:sz w:val="22"/>
          <w:szCs w:val="22"/>
          <w:lang w:val="sr-Cyrl-RS"/>
        </w:rPr>
      </w:pPr>
      <w:r w:rsidRPr="00744D73">
        <w:rPr>
          <w:rFonts w:ascii="Tahoma" w:hAnsi="Tahoma" w:cs="Tahoma"/>
          <w:bCs/>
          <w:i/>
          <w:iCs/>
          <w:color w:val="000000" w:themeColor="text1"/>
          <w:sz w:val="22"/>
          <w:szCs w:val="22"/>
          <w:lang w:val="sr-Cyrl-RS"/>
        </w:rPr>
        <w:t>Јединични трошак</w:t>
      </w:r>
      <w:r w:rsidRPr="00744D73">
        <w:rPr>
          <w:rFonts w:ascii="Tahoma" w:hAnsi="Tahoma" w:cs="Tahoma"/>
          <w:bCs/>
          <w:iCs/>
          <w:color w:val="000000" w:themeColor="text1"/>
          <w:sz w:val="22"/>
          <w:szCs w:val="22"/>
          <w:lang w:val="sr-Cyrl-RS"/>
        </w:rPr>
        <w:t xml:space="preserve">, индикатор ефикасности у 2018. години је износио 208 РСД и на нивоу је просека Србија-југ (201 РСД) (Табела 6). </w:t>
      </w:r>
    </w:p>
    <w:p w14:paraId="5979F1E8" w14:textId="77777777" w:rsidR="00744D73" w:rsidRPr="006E0167" w:rsidRDefault="00744D73" w:rsidP="00744D73">
      <w:pPr>
        <w:pStyle w:val="NormalWeb"/>
        <w:shd w:val="clear" w:color="auto" w:fill="D9E2F3" w:themeFill="accent1" w:themeFillTint="33"/>
        <w:spacing w:before="0" w:beforeAutospacing="0" w:after="160" w:afterAutospacing="0" w:line="259" w:lineRule="auto"/>
        <w:jc w:val="both"/>
        <w:rPr>
          <w:rFonts w:ascii="Tahoma" w:eastAsia="Times New Roman" w:hAnsi="Tahoma" w:cs="Tahoma"/>
          <w:b/>
          <w:color w:val="1F3864" w:themeColor="accent1" w:themeShade="80"/>
          <w:sz w:val="22"/>
          <w:szCs w:val="22"/>
          <w:lang w:val="sr-Cyrl-RS" w:eastAsia="en-GB"/>
        </w:rPr>
      </w:pPr>
      <w:r w:rsidRPr="006E0167">
        <w:rPr>
          <w:rFonts w:ascii="Tahoma" w:eastAsia="Times New Roman" w:hAnsi="Tahoma" w:cs="Tahoma"/>
          <w:b/>
          <w:color w:val="1F3864" w:themeColor="accent1" w:themeShade="80"/>
          <w:sz w:val="22"/>
          <w:szCs w:val="22"/>
          <w:lang w:val="sr-Cyrl-RS" w:eastAsia="en-GB"/>
        </w:rPr>
        <w:t xml:space="preserve">Бокс 5. Индикатори учинка – доступност и ефикасност </w:t>
      </w:r>
    </w:p>
    <w:p w14:paraId="364234C9" w14:textId="77777777" w:rsidR="00744D73" w:rsidRPr="009A1AEF" w:rsidRDefault="00744D73" w:rsidP="00744D73">
      <w:pPr>
        <w:pStyle w:val="NormalWeb"/>
        <w:shd w:val="clear" w:color="auto" w:fill="D9E2F3" w:themeFill="accent1" w:themeFillTint="33"/>
        <w:spacing w:before="0" w:beforeAutospacing="0" w:after="160" w:afterAutospacing="0" w:line="259" w:lineRule="auto"/>
        <w:jc w:val="both"/>
        <w:rPr>
          <w:rFonts w:ascii="Tahoma" w:eastAsia="Times New Roman" w:hAnsi="Tahoma" w:cs="Tahoma"/>
          <w:sz w:val="22"/>
          <w:szCs w:val="22"/>
          <w:lang w:val="sr-Cyrl-RS" w:eastAsia="en-GB"/>
        </w:rPr>
      </w:pPr>
      <w:r w:rsidRPr="009A1AEF">
        <w:rPr>
          <w:rFonts w:ascii="Tahoma" w:eastAsia="Times New Roman" w:hAnsi="Tahoma" w:cs="Tahoma"/>
          <w:sz w:val="22"/>
          <w:szCs w:val="22"/>
          <w:lang w:val="sr-Cyrl-RS" w:eastAsia="en-GB"/>
        </w:rPr>
        <w:t xml:space="preserve">Доступност се мери преко стопе обухвата, стављањем у однос броја корисника услуге и популације одговарајуће старости. Општа стопа обухвата се рачуна на основу стварног броја корисника, а хипотетичка стопа обухвата на основу еквивалентног броја корисника. </w:t>
      </w:r>
    </w:p>
    <w:p w14:paraId="24EFE541" w14:textId="77777777" w:rsidR="00744D73" w:rsidRPr="005842A4" w:rsidRDefault="00744D73" w:rsidP="00744D73">
      <w:pPr>
        <w:pStyle w:val="NormalWeb"/>
        <w:shd w:val="clear" w:color="auto" w:fill="D9E2F3" w:themeFill="accent1" w:themeFillTint="33"/>
        <w:spacing w:before="0" w:beforeAutospacing="0" w:after="160" w:afterAutospacing="0" w:line="259" w:lineRule="auto"/>
        <w:jc w:val="both"/>
        <w:rPr>
          <w:rFonts w:ascii="Tahoma" w:eastAsia="Times New Roman" w:hAnsi="Tahoma" w:cs="Tahoma"/>
          <w:sz w:val="22"/>
          <w:szCs w:val="22"/>
          <w:lang w:val="sr-Cyrl-RS" w:eastAsia="en-GB"/>
        </w:rPr>
      </w:pPr>
      <w:r w:rsidRPr="009A1AEF">
        <w:rPr>
          <w:rFonts w:ascii="Tahoma" w:eastAsia="Times New Roman" w:hAnsi="Tahoma" w:cs="Tahoma"/>
          <w:sz w:val="22"/>
          <w:szCs w:val="22"/>
          <w:lang w:val="sr-Cyrl-RS" w:eastAsia="en-GB"/>
        </w:rPr>
        <w:t>Индикатор ефикасности је јединични трошак. Јединични трошак - трошак по кориснику за сат пружене услуге - представља однос укупних годишњих текућих расхода и укупног броја сати годишњег пружања услуге свим корисницима у једној локалној самоуправи.</w:t>
      </w:r>
    </w:p>
    <w:p w14:paraId="223AA71D" w14:textId="10B52AFD" w:rsidR="00744D73" w:rsidRPr="008A73B9" w:rsidRDefault="00744D73" w:rsidP="00744D73">
      <w:pPr>
        <w:spacing w:after="60"/>
        <w:jc w:val="both"/>
        <w:rPr>
          <w:rFonts w:ascii="Tahoma" w:hAnsi="Tahoma" w:cs="Tahoma"/>
          <w:bCs/>
          <w:iCs/>
          <w:color w:val="2F5496" w:themeColor="accent1" w:themeShade="BF"/>
          <w:sz w:val="22"/>
          <w:szCs w:val="22"/>
          <w:lang w:val="sr-Cyrl-RS"/>
        </w:rPr>
      </w:pPr>
      <w:r w:rsidRPr="008A73B9">
        <w:rPr>
          <w:rFonts w:ascii="Tahoma" w:hAnsi="Tahoma" w:cs="Tahoma"/>
          <w:bCs/>
          <w:iCs/>
          <w:color w:val="2F5496" w:themeColor="accent1" w:themeShade="BF"/>
          <w:sz w:val="22"/>
          <w:szCs w:val="22"/>
          <w:lang w:val="sr-Cyrl-RS"/>
        </w:rPr>
        <w:t>Табела 6. Индикатори учинка за услугу дневни боравак за децу, у 2015. и 2018.</w:t>
      </w:r>
    </w:p>
    <w:tbl>
      <w:tblPr>
        <w:tblStyle w:val="TableGrid"/>
        <w:tblW w:w="4556" w:type="pct"/>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92"/>
        <w:gridCol w:w="237"/>
        <w:gridCol w:w="1135"/>
        <w:gridCol w:w="17"/>
        <w:gridCol w:w="1118"/>
        <w:gridCol w:w="17"/>
        <w:gridCol w:w="1336"/>
        <w:gridCol w:w="17"/>
        <w:gridCol w:w="7"/>
        <w:gridCol w:w="1056"/>
        <w:gridCol w:w="17"/>
        <w:gridCol w:w="1189"/>
        <w:gridCol w:w="17"/>
        <w:gridCol w:w="7"/>
        <w:gridCol w:w="1329"/>
        <w:gridCol w:w="17"/>
        <w:gridCol w:w="12"/>
      </w:tblGrid>
      <w:tr w:rsidR="00744D73" w:rsidRPr="00FF4AAE" w14:paraId="12126B08" w14:textId="77777777" w:rsidTr="008012D4">
        <w:tc>
          <w:tcPr>
            <w:tcW w:w="582" w:type="pct"/>
            <w:tcBorders>
              <w:right w:val="nil"/>
            </w:tcBorders>
            <w:shd w:val="clear" w:color="auto" w:fill="2F5496" w:themeFill="accent1" w:themeFillShade="BF"/>
          </w:tcPr>
          <w:p w14:paraId="3F29B55D" w14:textId="77777777" w:rsidR="00744D73" w:rsidRPr="00FF4AAE" w:rsidRDefault="00744D73" w:rsidP="008012D4">
            <w:pPr>
              <w:spacing w:after="160" w:line="259" w:lineRule="auto"/>
              <w:jc w:val="both"/>
              <w:rPr>
                <w:rFonts w:ascii="Tahoma" w:hAnsi="Tahoma" w:cs="Tahoma"/>
                <w:iCs/>
                <w:sz w:val="21"/>
                <w:szCs w:val="21"/>
                <w:lang w:val="sr-Cyrl-RS"/>
              </w:rPr>
            </w:pPr>
          </w:p>
        </w:tc>
        <w:tc>
          <w:tcPr>
            <w:tcW w:w="139" w:type="pct"/>
            <w:tcBorders>
              <w:right w:val="nil"/>
            </w:tcBorders>
            <w:shd w:val="clear" w:color="auto" w:fill="2F5496" w:themeFill="accent1" w:themeFillShade="BF"/>
          </w:tcPr>
          <w:p w14:paraId="3E1F829B" w14:textId="77777777" w:rsidR="00744D73" w:rsidRPr="00FF4AAE" w:rsidRDefault="00744D73" w:rsidP="008012D4">
            <w:pPr>
              <w:spacing w:after="160" w:line="259" w:lineRule="auto"/>
              <w:jc w:val="center"/>
              <w:rPr>
                <w:rFonts w:ascii="Tahoma" w:hAnsi="Tahoma" w:cs="Tahoma"/>
                <w:b/>
                <w:bCs/>
                <w:iCs/>
                <w:color w:val="FFFFFF" w:themeColor="background1"/>
                <w:sz w:val="21"/>
                <w:szCs w:val="21"/>
                <w:lang w:val="sr-Cyrl-RS"/>
              </w:rPr>
            </w:pPr>
          </w:p>
        </w:tc>
        <w:tc>
          <w:tcPr>
            <w:tcW w:w="2140" w:type="pct"/>
            <w:gridSpan w:val="7"/>
            <w:tcBorders>
              <w:left w:val="nil"/>
            </w:tcBorders>
            <w:shd w:val="clear" w:color="auto" w:fill="2F5496" w:themeFill="accent1" w:themeFillShade="BF"/>
          </w:tcPr>
          <w:p w14:paraId="59E25BA2" w14:textId="77777777" w:rsidR="00744D73" w:rsidRPr="00FF4AAE" w:rsidRDefault="00744D73" w:rsidP="008012D4">
            <w:pPr>
              <w:spacing w:after="160" w:line="259" w:lineRule="auto"/>
              <w:jc w:val="center"/>
              <w:rPr>
                <w:rFonts w:ascii="Tahoma" w:hAnsi="Tahoma" w:cs="Tahoma"/>
                <w:b/>
                <w:bCs/>
                <w:iCs/>
                <w:color w:val="FFFFFF" w:themeColor="background1"/>
                <w:sz w:val="21"/>
                <w:szCs w:val="21"/>
                <w:lang w:val="sr-Cyrl-RS"/>
              </w:rPr>
            </w:pPr>
            <w:r>
              <w:rPr>
                <w:rFonts w:ascii="Tahoma" w:hAnsi="Tahoma" w:cs="Tahoma"/>
                <w:b/>
                <w:bCs/>
                <w:iCs/>
                <w:color w:val="FFFFFF" w:themeColor="background1"/>
                <w:sz w:val="21"/>
                <w:szCs w:val="21"/>
                <w:lang w:val="sr-Cyrl-RS"/>
              </w:rPr>
              <w:t>Смедеревска Паланка</w:t>
            </w:r>
          </w:p>
        </w:tc>
        <w:tc>
          <w:tcPr>
            <w:tcW w:w="2138" w:type="pct"/>
            <w:gridSpan w:val="8"/>
            <w:shd w:val="clear" w:color="auto" w:fill="2F5496" w:themeFill="accent1" w:themeFillShade="BF"/>
          </w:tcPr>
          <w:p w14:paraId="5BE24232" w14:textId="77777777" w:rsidR="00744D73" w:rsidRPr="00FF4AAE" w:rsidRDefault="00744D73" w:rsidP="008012D4">
            <w:pPr>
              <w:spacing w:after="160" w:line="259" w:lineRule="auto"/>
              <w:jc w:val="center"/>
              <w:rPr>
                <w:rFonts w:ascii="Tahoma" w:hAnsi="Tahoma" w:cs="Tahoma"/>
                <w:b/>
                <w:bCs/>
                <w:iCs/>
                <w:color w:val="FFFFFF" w:themeColor="background1"/>
                <w:sz w:val="21"/>
                <w:szCs w:val="21"/>
                <w:lang w:val="sr-Cyrl-RS"/>
              </w:rPr>
            </w:pPr>
            <w:r>
              <w:rPr>
                <w:rFonts w:ascii="Tahoma" w:hAnsi="Tahoma" w:cs="Tahoma"/>
                <w:b/>
                <w:bCs/>
                <w:iCs/>
                <w:color w:val="FFFFFF" w:themeColor="background1"/>
                <w:sz w:val="21"/>
                <w:szCs w:val="21"/>
                <w:lang w:val="sr-Cyrl-RS"/>
              </w:rPr>
              <w:t>Србија-југ</w:t>
            </w:r>
          </w:p>
        </w:tc>
      </w:tr>
      <w:tr w:rsidR="00744D73" w:rsidRPr="00FF4AAE" w14:paraId="02F93CB3" w14:textId="77777777" w:rsidTr="008012D4">
        <w:tc>
          <w:tcPr>
            <w:tcW w:w="582" w:type="pct"/>
            <w:tcBorders>
              <w:right w:val="nil"/>
            </w:tcBorders>
            <w:shd w:val="clear" w:color="auto" w:fill="8EAADB" w:themeFill="accent1" w:themeFillTint="99"/>
          </w:tcPr>
          <w:p w14:paraId="67A0D6D7" w14:textId="77777777" w:rsidR="00744D73" w:rsidRPr="00FF4AAE" w:rsidRDefault="00744D73" w:rsidP="008012D4">
            <w:pPr>
              <w:spacing w:after="160" w:line="259" w:lineRule="auto"/>
              <w:jc w:val="both"/>
              <w:rPr>
                <w:rFonts w:ascii="Tahoma" w:hAnsi="Tahoma" w:cs="Tahoma"/>
                <w:iCs/>
                <w:color w:val="FFFFFF" w:themeColor="background1"/>
                <w:sz w:val="21"/>
                <w:szCs w:val="21"/>
                <w:lang w:val="sr-Cyrl-RS"/>
              </w:rPr>
            </w:pPr>
          </w:p>
        </w:tc>
        <w:tc>
          <w:tcPr>
            <w:tcW w:w="139" w:type="pct"/>
            <w:tcBorders>
              <w:right w:val="nil"/>
            </w:tcBorders>
            <w:shd w:val="clear" w:color="auto" w:fill="8EAADB" w:themeFill="accent1" w:themeFillTint="99"/>
          </w:tcPr>
          <w:p w14:paraId="205ED425" w14:textId="77777777" w:rsidR="00744D73" w:rsidRPr="00FF4AAE" w:rsidRDefault="00744D73" w:rsidP="008012D4">
            <w:pPr>
              <w:spacing w:after="160" w:line="259" w:lineRule="auto"/>
              <w:jc w:val="center"/>
              <w:rPr>
                <w:rFonts w:ascii="Tahoma" w:hAnsi="Tahoma" w:cs="Tahoma"/>
                <w:iCs/>
                <w:color w:val="FFFFFF" w:themeColor="background1"/>
                <w:sz w:val="21"/>
                <w:szCs w:val="21"/>
                <w:lang w:val="sr-Cyrl-RS"/>
              </w:rPr>
            </w:pPr>
          </w:p>
        </w:tc>
        <w:tc>
          <w:tcPr>
            <w:tcW w:w="1342" w:type="pct"/>
            <w:gridSpan w:val="4"/>
            <w:tcBorders>
              <w:left w:val="nil"/>
            </w:tcBorders>
            <w:shd w:val="clear" w:color="auto" w:fill="8EAADB" w:themeFill="accent1" w:themeFillTint="99"/>
          </w:tcPr>
          <w:p w14:paraId="70FD4157" w14:textId="77777777" w:rsidR="00744D73" w:rsidRPr="00FF4AAE" w:rsidRDefault="00744D73" w:rsidP="008012D4">
            <w:pPr>
              <w:spacing w:after="160" w:line="259" w:lineRule="auto"/>
              <w:jc w:val="center"/>
              <w:rPr>
                <w:rFonts w:ascii="Tahoma" w:hAnsi="Tahoma" w:cs="Tahoma"/>
                <w:iCs/>
                <w:color w:val="FFFFFF" w:themeColor="background1"/>
                <w:sz w:val="21"/>
                <w:szCs w:val="21"/>
                <w:lang w:val="sr-Cyrl-RS"/>
              </w:rPr>
            </w:pPr>
            <w:r w:rsidRPr="00FF4AAE">
              <w:rPr>
                <w:rFonts w:ascii="Tahoma" w:hAnsi="Tahoma" w:cs="Tahoma"/>
                <w:iCs/>
                <w:color w:val="FFFFFF" w:themeColor="background1"/>
                <w:sz w:val="21"/>
                <w:szCs w:val="21"/>
                <w:lang w:val="sr-Cyrl-RS"/>
              </w:rPr>
              <w:t>Доступност</w:t>
            </w:r>
          </w:p>
        </w:tc>
        <w:tc>
          <w:tcPr>
            <w:tcW w:w="794" w:type="pct"/>
            <w:gridSpan w:val="2"/>
            <w:shd w:val="clear" w:color="auto" w:fill="8EAADB" w:themeFill="accent1" w:themeFillTint="99"/>
          </w:tcPr>
          <w:p w14:paraId="3EC0A5C2" w14:textId="77777777" w:rsidR="00744D73" w:rsidRPr="00FF4AAE" w:rsidRDefault="00744D73" w:rsidP="008012D4">
            <w:pPr>
              <w:spacing w:after="160" w:line="259" w:lineRule="auto"/>
              <w:jc w:val="both"/>
              <w:rPr>
                <w:rFonts w:ascii="Tahoma" w:hAnsi="Tahoma" w:cs="Tahoma"/>
                <w:iCs/>
                <w:color w:val="FFFFFF" w:themeColor="background1"/>
                <w:sz w:val="21"/>
                <w:szCs w:val="21"/>
                <w:lang w:val="sr-Cyrl-RS"/>
              </w:rPr>
            </w:pPr>
            <w:r w:rsidRPr="00FF4AAE">
              <w:rPr>
                <w:rFonts w:ascii="Tahoma" w:hAnsi="Tahoma" w:cs="Tahoma"/>
                <w:iCs/>
                <w:color w:val="FFFFFF" w:themeColor="background1"/>
                <w:sz w:val="21"/>
                <w:szCs w:val="21"/>
                <w:lang w:val="sr-Cyrl-RS"/>
              </w:rPr>
              <w:t>Ефикасност</w:t>
            </w:r>
          </w:p>
        </w:tc>
        <w:tc>
          <w:tcPr>
            <w:tcW w:w="1346" w:type="pct"/>
            <w:gridSpan w:val="6"/>
            <w:shd w:val="clear" w:color="auto" w:fill="8EAADB" w:themeFill="accent1" w:themeFillTint="99"/>
          </w:tcPr>
          <w:p w14:paraId="7FA3E6C1" w14:textId="77777777" w:rsidR="00744D73" w:rsidRPr="00FF4AAE" w:rsidRDefault="00744D73" w:rsidP="008012D4">
            <w:pPr>
              <w:spacing w:after="160" w:line="259" w:lineRule="auto"/>
              <w:jc w:val="center"/>
              <w:rPr>
                <w:rFonts w:ascii="Tahoma" w:hAnsi="Tahoma" w:cs="Tahoma"/>
                <w:iCs/>
                <w:color w:val="FFFFFF" w:themeColor="background1"/>
                <w:sz w:val="21"/>
                <w:szCs w:val="21"/>
                <w:lang w:val="sr-Cyrl-RS"/>
              </w:rPr>
            </w:pPr>
            <w:r w:rsidRPr="00FF4AAE">
              <w:rPr>
                <w:rFonts w:ascii="Tahoma" w:hAnsi="Tahoma" w:cs="Tahoma"/>
                <w:iCs/>
                <w:color w:val="FFFFFF" w:themeColor="background1"/>
                <w:sz w:val="21"/>
                <w:szCs w:val="21"/>
                <w:lang w:val="sr-Cyrl-RS"/>
              </w:rPr>
              <w:t>Доступност</w:t>
            </w:r>
          </w:p>
        </w:tc>
        <w:tc>
          <w:tcPr>
            <w:tcW w:w="797" w:type="pct"/>
            <w:gridSpan w:val="3"/>
            <w:shd w:val="clear" w:color="auto" w:fill="8EAADB" w:themeFill="accent1" w:themeFillTint="99"/>
          </w:tcPr>
          <w:p w14:paraId="4DD86DCD" w14:textId="77777777" w:rsidR="00744D73" w:rsidRPr="00FF4AAE" w:rsidRDefault="00744D73" w:rsidP="008012D4">
            <w:pPr>
              <w:spacing w:after="160" w:line="259" w:lineRule="auto"/>
              <w:jc w:val="both"/>
              <w:rPr>
                <w:rFonts w:ascii="Tahoma" w:hAnsi="Tahoma" w:cs="Tahoma"/>
                <w:iCs/>
                <w:color w:val="FFFFFF" w:themeColor="background1"/>
                <w:sz w:val="21"/>
                <w:szCs w:val="21"/>
                <w:lang w:val="sr-Cyrl-RS"/>
              </w:rPr>
            </w:pPr>
            <w:r w:rsidRPr="00FF4AAE">
              <w:rPr>
                <w:rFonts w:ascii="Tahoma" w:hAnsi="Tahoma" w:cs="Tahoma"/>
                <w:iCs/>
                <w:color w:val="FFFFFF" w:themeColor="background1"/>
                <w:sz w:val="21"/>
                <w:szCs w:val="21"/>
                <w:lang w:val="sr-Cyrl-RS"/>
              </w:rPr>
              <w:t>Ефикасност</w:t>
            </w:r>
          </w:p>
        </w:tc>
      </w:tr>
      <w:tr w:rsidR="00744D73" w:rsidRPr="00FF4AAE" w14:paraId="240AD2BB" w14:textId="77777777" w:rsidTr="008012D4">
        <w:trPr>
          <w:gridAfter w:val="1"/>
          <w:wAfter w:w="7" w:type="pct"/>
        </w:trPr>
        <w:tc>
          <w:tcPr>
            <w:tcW w:w="582" w:type="pct"/>
            <w:tcBorders>
              <w:right w:val="nil"/>
            </w:tcBorders>
            <w:shd w:val="clear" w:color="auto" w:fill="B4C6E7" w:themeFill="accent1" w:themeFillTint="66"/>
          </w:tcPr>
          <w:p w14:paraId="2E9A4FBB" w14:textId="77777777" w:rsidR="00744D73" w:rsidRPr="00FF4AAE" w:rsidRDefault="00744D73" w:rsidP="008012D4">
            <w:pPr>
              <w:spacing w:after="160" w:line="259" w:lineRule="auto"/>
              <w:jc w:val="both"/>
              <w:rPr>
                <w:rFonts w:ascii="Tahoma" w:hAnsi="Tahoma" w:cs="Tahoma"/>
                <w:sz w:val="21"/>
                <w:szCs w:val="21"/>
                <w:lang w:val="sr-Cyrl-RS"/>
              </w:rPr>
            </w:pPr>
          </w:p>
        </w:tc>
        <w:tc>
          <w:tcPr>
            <w:tcW w:w="139" w:type="pct"/>
            <w:tcBorders>
              <w:right w:val="nil"/>
            </w:tcBorders>
            <w:shd w:val="clear" w:color="auto" w:fill="B4C6E7" w:themeFill="accent1" w:themeFillTint="66"/>
          </w:tcPr>
          <w:p w14:paraId="70F19552" w14:textId="77777777" w:rsidR="00744D73" w:rsidRPr="00FF4AAE" w:rsidRDefault="00744D73" w:rsidP="008012D4">
            <w:pPr>
              <w:spacing w:after="160" w:line="259" w:lineRule="auto"/>
              <w:jc w:val="both"/>
              <w:rPr>
                <w:rFonts w:ascii="Tahoma" w:hAnsi="Tahoma" w:cs="Tahoma"/>
                <w:color w:val="1F3864" w:themeColor="accent1" w:themeShade="80"/>
                <w:sz w:val="21"/>
                <w:szCs w:val="21"/>
                <w:lang w:val="sr-Cyrl-RS"/>
              </w:rPr>
            </w:pPr>
          </w:p>
        </w:tc>
        <w:tc>
          <w:tcPr>
            <w:tcW w:w="676" w:type="pct"/>
            <w:gridSpan w:val="2"/>
            <w:tcBorders>
              <w:left w:val="nil"/>
            </w:tcBorders>
            <w:shd w:val="clear" w:color="auto" w:fill="B4C6E7" w:themeFill="accent1" w:themeFillTint="66"/>
          </w:tcPr>
          <w:p w14:paraId="7EFA5A34" w14:textId="77777777" w:rsidR="00744D73" w:rsidRPr="00FF4AAE" w:rsidRDefault="00744D73" w:rsidP="008012D4">
            <w:pPr>
              <w:spacing w:after="160" w:line="259" w:lineRule="auto"/>
              <w:jc w:val="both"/>
              <w:rPr>
                <w:rFonts w:ascii="Tahoma" w:hAnsi="Tahoma" w:cs="Tahoma"/>
                <w:color w:val="1F3864" w:themeColor="accent1" w:themeShade="80"/>
                <w:sz w:val="21"/>
                <w:szCs w:val="21"/>
                <w:lang w:val="sr-Cyrl-RS"/>
              </w:rPr>
            </w:pPr>
            <w:r w:rsidRPr="00FF4AAE">
              <w:rPr>
                <w:rFonts w:ascii="Tahoma" w:hAnsi="Tahoma" w:cs="Tahoma"/>
                <w:color w:val="1F3864" w:themeColor="accent1" w:themeShade="80"/>
                <w:sz w:val="21"/>
                <w:szCs w:val="21"/>
                <w:lang w:val="sr-Cyrl-RS"/>
              </w:rPr>
              <w:t>ОСО</w:t>
            </w:r>
            <w:r>
              <w:rPr>
                <w:rFonts w:ascii="Tahoma" w:hAnsi="Tahoma" w:cs="Tahoma"/>
                <w:color w:val="1F3864" w:themeColor="accent1" w:themeShade="80"/>
                <w:sz w:val="21"/>
                <w:szCs w:val="21"/>
                <w:lang w:val="sr-Latn-RS"/>
              </w:rPr>
              <w:t xml:space="preserve"> </w:t>
            </w:r>
            <w:r w:rsidRPr="00FF4AAE">
              <w:rPr>
                <w:rFonts w:ascii="Tahoma" w:hAnsi="Tahoma" w:cs="Tahoma"/>
                <w:color w:val="1F3864" w:themeColor="accent1" w:themeShade="80"/>
                <w:sz w:val="21"/>
                <w:szCs w:val="21"/>
                <w:lang w:val="sr-Cyrl-RS"/>
              </w:rPr>
              <w:t>(%)</w:t>
            </w:r>
          </w:p>
        </w:tc>
        <w:tc>
          <w:tcPr>
            <w:tcW w:w="666" w:type="pct"/>
            <w:gridSpan w:val="2"/>
            <w:shd w:val="clear" w:color="auto" w:fill="B4C6E7" w:themeFill="accent1" w:themeFillTint="66"/>
          </w:tcPr>
          <w:p w14:paraId="656380FD" w14:textId="77777777" w:rsidR="00744D73" w:rsidRPr="00FF4AAE" w:rsidRDefault="00744D73" w:rsidP="008012D4">
            <w:pPr>
              <w:spacing w:after="160" w:line="259" w:lineRule="auto"/>
              <w:jc w:val="both"/>
              <w:rPr>
                <w:rFonts w:ascii="Tahoma" w:hAnsi="Tahoma" w:cs="Tahoma"/>
                <w:color w:val="1F3864" w:themeColor="accent1" w:themeShade="80"/>
                <w:sz w:val="21"/>
                <w:szCs w:val="21"/>
                <w:lang w:val="sr-Cyrl-RS"/>
              </w:rPr>
            </w:pPr>
            <w:r w:rsidRPr="00FF4AAE">
              <w:rPr>
                <w:rFonts w:ascii="Tahoma" w:hAnsi="Tahoma" w:cs="Tahoma"/>
                <w:color w:val="1F3864" w:themeColor="accent1" w:themeShade="80"/>
                <w:sz w:val="21"/>
                <w:szCs w:val="21"/>
                <w:lang w:val="sr-Cyrl-RS"/>
              </w:rPr>
              <w:t>ХСО</w:t>
            </w:r>
            <w:r>
              <w:rPr>
                <w:rFonts w:ascii="Tahoma" w:hAnsi="Tahoma" w:cs="Tahoma"/>
                <w:color w:val="1F3864" w:themeColor="accent1" w:themeShade="80"/>
                <w:sz w:val="21"/>
                <w:szCs w:val="21"/>
                <w:lang w:val="sr-Latn-RS"/>
              </w:rPr>
              <w:t xml:space="preserve"> </w:t>
            </w:r>
            <w:r w:rsidRPr="00FF4AAE">
              <w:rPr>
                <w:rFonts w:ascii="Tahoma" w:hAnsi="Tahoma" w:cs="Tahoma"/>
                <w:color w:val="1F3864" w:themeColor="accent1" w:themeShade="80"/>
                <w:sz w:val="21"/>
                <w:szCs w:val="21"/>
                <w:lang w:val="sr-Cyrl-RS"/>
              </w:rPr>
              <w:t>(%)</w:t>
            </w:r>
          </w:p>
        </w:tc>
        <w:tc>
          <w:tcPr>
            <w:tcW w:w="794" w:type="pct"/>
            <w:gridSpan w:val="2"/>
            <w:shd w:val="clear" w:color="auto" w:fill="B4C6E7" w:themeFill="accent1" w:themeFillTint="66"/>
          </w:tcPr>
          <w:p w14:paraId="35584CBE" w14:textId="77777777" w:rsidR="00744D73" w:rsidRPr="00FF4AAE" w:rsidRDefault="00744D73" w:rsidP="008012D4">
            <w:pPr>
              <w:spacing w:after="160" w:line="259" w:lineRule="auto"/>
              <w:jc w:val="center"/>
              <w:rPr>
                <w:rFonts w:ascii="Tahoma" w:hAnsi="Tahoma" w:cs="Tahoma"/>
                <w:color w:val="1F3864" w:themeColor="accent1" w:themeShade="80"/>
                <w:sz w:val="21"/>
                <w:szCs w:val="21"/>
                <w:lang w:val="sr-Cyrl-RS"/>
              </w:rPr>
            </w:pPr>
            <w:r w:rsidRPr="00FF4AAE">
              <w:rPr>
                <w:rFonts w:ascii="Tahoma" w:hAnsi="Tahoma" w:cs="Tahoma"/>
                <w:color w:val="1F3864" w:themeColor="accent1" w:themeShade="80"/>
                <w:sz w:val="21"/>
                <w:szCs w:val="21"/>
                <w:lang w:val="sr-Cyrl-RS"/>
              </w:rPr>
              <w:t>ЈТУ (РСД)</w:t>
            </w:r>
          </w:p>
        </w:tc>
        <w:tc>
          <w:tcPr>
            <w:tcW w:w="634" w:type="pct"/>
            <w:gridSpan w:val="3"/>
            <w:shd w:val="clear" w:color="auto" w:fill="B4C6E7" w:themeFill="accent1" w:themeFillTint="66"/>
          </w:tcPr>
          <w:p w14:paraId="1784DEE8" w14:textId="77777777" w:rsidR="00744D73" w:rsidRPr="00FF4AAE" w:rsidRDefault="00744D73" w:rsidP="008012D4">
            <w:pPr>
              <w:spacing w:after="160" w:line="259" w:lineRule="auto"/>
              <w:jc w:val="center"/>
              <w:rPr>
                <w:rFonts w:ascii="Tahoma" w:hAnsi="Tahoma" w:cs="Tahoma"/>
                <w:color w:val="1F3864" w:themeColor="accent1" w:themeShade="80"/>
                <w:sz w:val="21"/>
                <w:szCs w:val="21"/>
                <w:lang w:val="sr-Cyrl-RS"/>
              </w:rPr>
            </w:pPr>
            <w:r>
              <w:rPr>
                <w:rFonts w:ascii="Tahoma" w:hAnsi="Tahoma" w:cs="Tahoma"/>
                <w:color w:val="1F3864" w:themeColor="accent1" w:themeShade="80"/>
                <w:sz w:val="21"/>
                <w:szCs w:val="21"/>
                <w:lang w:val="sr-Cyrl-RS"/>
              </w:rPr>
              <w:t>ОСО</w:t>
            </w:r>
            <w:r>
              <w:rPr>
                <w:rFonts w:ascii="Tahoma" w:hAnsi="Tahoma" w:cs="Tahoma"/>
                <w:color w:val="1F3864" w:themeColor="accent1" w:themeShade="80"/>
                <w:sz w:val="21"/>
                <w:szCs w:val="21"/>
                <w:lang w:val="sr-Latn-RS"/>
              </w:rPr>
              <w:t xml:space="preserve"> </w:t>
            </w:r>
            <w:r w:rsidRPr="00FF4AAE">
              <w:rPr>
                <w:rFonts w:ascii="Tahoma" w:hAnsi="Tahoma" w:cs="Tahoma"/>
                <w:color w:val="1F3864" w:themeColor="accent1" w:themeShade="80"/>
                <w:sz w:val="21"/>
                <w:szCs w:val="21"/>
                <w:lang w:val="sr-Cyrl-RS"/>
              </w:rPr>
              <w:t>(%)</w:t>
            </w:r>
          </w:p>
        </w:tc>
        <w:tc>
          <w:tcPr>
            <w:tcW w:w="708" w:type="pct"/>
            <w:gridSpan w:val="2"/>
            <w:shd w:val="clear" w:color="auto" w:fill="B4C6E7" w:themeFill="accent1" w:themeFillTint="66"/>
          </w:tcPr>
          <w:p w14:paraId="5F682180" w14:textId="77777777" w:rsidR="00744D73" w:rsidRPr="00FF4AAE" w:rsidRDefault="00744D73" w:rsidP="008012D4">
            <w:pPr>
              <w:spacing w:after="160" w:line="259" w:lineRule="auto"/>
              <w:jc w:val="center"/>
              <w:rPr>
                <w:rFonts w:ascii="Tahoma" w:hAnsi="Tahoma" w:cs="Tahoma"/>
                <w:color w:val="1F3864" w:themeColor="accent1" w:themeShade="80"/>
                <w:sz w:val="21"/>
                <w:szCs w:val="21"/>
                <w:lang w:val="sr-Cyrl-RS"/>
              </w:rPr>
            </w:pPr>
            <w:r w:rsidRPr="00FF4AAE">
              <w:rPr>
                <w:rFonts w:ascii="Tahoma" w:hAnsi="Tahoma" w:cs="Tahoma"/>
                <w:color w:val="1F3864" w:themeColor="accent1" w:themeShade="80"/>
                <w:sz w:val="21"/>
                <w:szCs w:val="21"/>
                <w:lang w:val="sr-Cyrl-RS"/>
              </w:rPr>
              <w:t>ХСО</w:t>
            </w:r>
            <w:r>
              <w:rPr>
                <w:rFonts w:ascii="Tahoma" w:hAnsi="Tahoma" w:cs="Tahoma"/>
                <w:color w:val="1F3864" w:themeColor="accent1" w:themeShade="80"/>
                <w:sz w:val="21"/>
                <w:szCs w:val="21"/>
                <w:lang w:val="sr-Latn-RS"/>
              </w:rPr>
              <w:t xml:space="preserve"> </w:t>
            </w:r>
            <w:r w:rsidRPr="00FF4AAE">
              <w:rPr>
                <w:rFonts w:ascii="Tahoma" w:hAnsi="Tahoma" w:cs="Tahoma"/>
                <w:color w:val="1F3864" w:themeColor="accent1" w:themeShade="80"/>
                <w:sz w:val="21"/>
                <w:szCs w:val="21"/>
                <w:lang w:val="sr-Cyrl-RS"/>
              </w:rPr>
              <w:t>(%)</w:t>
            </w:r>
          </w:p>
        </w:tc>
        <w:tc>
          <w:tcPr>
            <w:tcW w:w="794" w:type="pct"/>
            <w:gridSpan w:val="3"/>
            <w:shd w:val="clear" w:color="auto" w:fill="B4C6E7" w:themeFill="accent1" w:themeFillTint="66"/>
          </w:tcPr>
          <w:p w14:paraId="38DA26AF" w14:textId="77777777" w:rsidR="00744D73" w:rsidRPr="00FF4AAE" w:rsidRDefault="00744D73" w:rsidP="008012D4">
            <w:pPr>
              <w:spacing w:after="160" w:line="259" w:lineRule="auto"/>
              <w:jc w:val="center"/>
              <w:rPr>
                <w:rFonts w:ascii="Tahoma" w:hAnsi="Tahoma" w:cs="Tahoma"/>
                <w:color w:val="1F3864" w:themeColor="accent1" w:themeShade="80"/>
                <w:sz w:val="21"/>
                <w:szCs w:val="21"/>
                <w:lang w:val="sr-Cyrl-RS"/>
              </w:rPr>
            </w:pPr>
            <w:r w:rsidRPr="00FF4AAE">
              <w:rPr>
                <w:rFonts w:ascii="Tahoma" w:hAnsi="Tahoma" w:cs="Tahoma"/>
                <w:color w:val="1F3864" w:themeColor="accent1" w:themeShade="80"/>
                <w:sz w:val="21"/>
                <w:szCs w:val="21"/>
                <w:lang w:val="sr-Cyrl-RS"/>
              </w:rPr>
              <w:t>ЈТУ (РСД)</w:t>
            </w:r>
          </w:p>
        </w:tc>
      </w:tr>
      <w:tr w:rsidR="00744D73" w:rsidRPr="00FF4AAE" w14:paraId="53CE07B7" w14:textId="77777777" w:rsidTr="008012D4">
        <w:trPr>
          <w:gridAfter w:val="2"/>
          <w:wAfter w:w="17" w:type="pct"/>
        </w:trPr>
        <w:tc>
          <w:tcPr>
            <w:tcW w:w="582" w:type="pct"/>
            <w:shd w:val="clear" w:color="auto" w:fill="D9E2F3" w:themeFill="accent1" w:themeFillTint="33"/>
          </w:tcPr>
          <w:p w14:paraId="4E430A87" w14:textId="77777777" w:rsidR="00744D73" w:rsidRPr="00FF4AAE" w:rsidRDefault="00744D73" w:rsidP="008012D4">
            <w:pPr>
              <w:spacing w:after="160" w:line="259" w:lineRule="auto"/>
              <w:jc w:val="both"/>
              <w:rPr>
                <w:rFonts w:ascii="Tahoma" w:hAnsi="Tahoma" w:cs="Tahoma"/>
                <w:b/>
                <w:bCs/>
                <w:color w:val="1F3864" w:themeColor="accent1" w:themeShade="80"/>
                <w:sz w:val="21"/>
                <w:szCs w:val="21"/>
                <w:lang w:val="sr-Cyrl-RS"/>
              </w:rPr>
            </w:pPr>
            <w:r w:rsidRPr="00FF4AAE">
              <w:rPr>
                <w:rFonts w:ascii="Tahoma" w:hAnsi="Tahoma" w:cs="Tahoma"/>
                <w:b/>
                <w:bCs/>
                <w:color w:val="1F3864" w:themeColor="accent1" w:themeShade="80"/>
                <w:sz w:val="21"/>
                <w:szCs w:val="21"/>
                <w:lang w:val="sr-Cyrl-RS"/>
              </w:rPr>
              <w:t>2015</w:t>
            </w:r>
          </w:p>
        </w:tc>
        <w:tc>
          <w:tcPr>
            <w:tcW w:w="805" w:type="pct"/>
            <w:gridSpan w:val="2"/>
            <w:shd w:val="clear" w:color="auto" w:fill="D9E2F3" w:themeFill="accent1" w:themeFillTint="33"/>
          </w:tcPr>
          <w:p w14:paraId="7CF7B887" w14:textId="77777777" w:rsidR="00744D73" w:rsidRPr="00E55692" w:rsidRDefault="00744D73" w:rsidP="008012D4">
            <w:pPr>
              <w:spacing w:after="160" w:line="259" w:lineRule="auto"/>
              <w:jc w:val="right"/>
              <w:rPr>
                <w:rFonts w:ascii="Tahoma" w:hAnsi="Tahoma" w:cs="Tahoma"/>
                <w:sz w:val="21"/>
                <w:szCs w:val="21"/>
                <w:lang w:val="sr-Cyrl-RS"/>
              </w:rPr>
            </w:pPr>
            <w:r>
              <w:rPr>
                <w:rFonts w:ascii="Tahoma" w:hAnsi="Tahoma" w:cs="Tahoma"/>
                <w:sz w:val="21"/>
                <w:szCs w:val="21"/>
                <w:lang w:val="sr-Cyrl-RS"/>
              </w:rPr>
              <w:t>0,03</w:t>
            </w:r>
          </w:p>
        </w:tc>
        <w:tc>
          <w:tcPr>
            <w:tcW w:w="666" w:type="pct"/>
            <w:gridSpan w:val="2"/>
            <w:shd w:val="clear" w:color="auto" w:fill="D9E2F3" w:themeFill="accent1" w:themeFillTint="33"/>
          </w:tcPr>
          <w:p w14:paraId="466F0AEE" w14:textId="77777777" w:rsidR="00744D73" w:rsidRPr="00E55692" w:rsidRDefault="00744D73" w:rsidP="008012D4">
            <w:pPr>
              <w:spacing w:after="160" w:line="259" w:lineRule="auto"/>
              <w:jc w:val="right"/>
              <w:rPr>
                <w:rFonts w:ascii="Tahoma" w:hAnsi="Tahoma" w:cs="Tahoma"/>
                <w:sz w:val="21"/>
                <w:szCs w:val="21"/>
                <w:lang w:val="sr-Cyrl-RS"/>
              </w:rPr>
            </w:pPr>
            <w:r>
              <w:rPr>
                <w:rFonts w:ascii="Tahoma" w:hAnsi="Tahoma" w:cs="Tahoma"/>
                <w:sz w:val="21"/>
                <w:szCs w:val="21"/>
                <w:lang w:val="sr-Cyrl-RS"/>
              </w:rPr>
              <w:t>0,03</w:t>
            </w:r>
          </w:p>
        </w:tc>
        <w:tc>
          <w:tcPr>
            <w:tcW w:w="794" w:type="pct"/>
            <w:gridSpan w:val="2"/>
            <w:shd w:val="clear" w:color="auto" w:fill="D9E2F3" w:themeFill="accent1" w:themeFillTint="33"/>
          </w:tcPr>
          <w:p w14:paraId="2D0317EA" w14:textId="77777777" w:rsidR="00744D73" w:rsidRPr="00E55692" w:rsidRDefault="00744D73" w:rsidP="008012D4">
            <w:pPr>
              <w:spacing w:after="160" w:line="259" w:lineRule="auto"/>
              <w:jc w:val="right"/>
              <w:rPr>
                <w:rFonts w:ascii="Tahoma" w:hAnsi="Tahoma" w:cs="Tahoma"/>
                <w:sz w:val="21"/>
                <w:szCs w:val="21"/>
                <w:lang w:val="sr-Cyrl-RS"/>
              </w:rPr>
            </w:pPr>
            <w:r>
              <w:rPr>
                <w:rFonts w:ascii="Tahoma" w:hAnsi="Tahoma" w:cs="Tahoma"/>
                <w:sz w:val="21"/>
                <w:szCs w:val="21"/>
                <w:lang w:val="sr-Cyrl-RS"/>
              </w:rPr>
              <w:t>217</w:t>
            </w:r>
          </w:p>
        </w:tc>
        <w:tc>
          <w:tcPr>
            <w:tcW w:w="634" w:type="pct"/>
            <w:gridSpan w:val="3"/>
            <w:shd w:val="clear" w:color="auto" w:fill="D9E2F3" w:themeFill="accent1" w:themeFillTint="33"/>
          </w:tcPr>
          <w:p w14:paraId="6AB94279" w14:textId="77777777" w:rsidR="00744D73" w:rsidRPr="009003DF" w:rsidRDefault="00744D73" w:rsidP="008012D4">
            <w:pPr>
              <w:spacing w:after="160" w:line="259" w:lineRule="auto"/>
              <w:jc w:val="right"/>
              <w:rPr>
                <w:rFonts w:ascii="Tahoma" w:hAnsi="Tahoma" w:cs="Tahoma"/>
                <w:sz w:val="21"/>
                <w:szCs w:val="21"/>
                <w:lang w:val="sr-Latn-RS"/>
              </w:rPr>
            </w:pPr>
            <w:r>
              <w:rPr>
                <w:rFonts w:ascii="Tahoma" w:hAnsi="Tahoma" w:cs="Tahoma"/>
                <w:sz w:val="21"/>
                <w:szCs w:val="21"/>
                <w:lang w:val="sr-Latn-RS"/>
              </w:rPr>
              <w:t>0,19</w:t>
            </w:r>
          </w:p>
        </w:tc>
        <w:tc>
          <w:tcPr>
            <w:tcW w:w="708" w:type="pct"/>
            <w:gridSpan w:val="2"/>
            <w:shd w:val="clear" w:color="auto" w:fill="D9E2F3" w:themeFill="accent1" w:themeFillTint="33"/>
          </w:tcPr>
          <w:p w14:paraId="60380D52" w14:textId="77777777" w:rsidR="00744D73" w:rsidRPr="009003DF" w:rsidRDefault="00744D73" w:rsidP="008012D4">
            <w:pPr>
              <w:spacing w:after="160" w:line="259" w:lineRule="auto"/>
              <w:jc w:val="right"/>
              <w:rPr>
                <w:rFonts w:ascii="Tahoma" w:hAnsi="Tahoma" w:cs="Tahoma"/>
                <w:sz w:val="21"/>
                <w:szCs w:val="21"/>
                <w:lang w:val="sr-Latn-RS"/>
              </w:rPr>
            </w:pPr>
            <w:r>
              <w:rPr>
                <w:rFonts w:ascii="Tahoma" w:hAnsi="Tahoma" w:cs="Tahoma"/>
                <w:sz w:val="21"/>
                <w:szCs w:val="21"/>
                <w:lang w:val="sr-Latn-RS"/>
              </w:rPr>
              <w:t>0,17</w:t>
            </w:r>
          </w:p>
        </w:tc>
        <w:tc>
          <w:tcPr>
            <w:tcW w:w="794" w:type="pct"/>
            <w:gridSpan w:val="3"/>
            <w:shd w:val="clear" w:color="auto" w:fill="D9E2F3" w:themeFill="accent1" w:themeFillTint="33"/>
          </w:tcPr>
          <w:p w14:paraId="6163FC2C" w14:textId="77777777" w:rsidR="00744D73" w:rsidRPr="009003DF" w:rsidRDefault="00744D73" w:rsidP="008012D4">
            <w:pPr>
              <w:spacing w:after="160" w:line="259" w:lineRule="auto"/>
              <w:jc w:val="right"/>
              <w:rPr>
                <w:rFonts w:ascii="Tahoma" w:hAnsi="Tahoma" w:cs="Tahoma"/>
                <w:sz w:val="21"/>
                <w:szCs w:val="21"/>
                <w:lang w:val="sr-Latn-RS"/>
              </w:rPr>
            </w:pPr>
            <w:r>
              <w:rPr>
                <w:rFonts w:ascii="Tahoma" w:hAnsi="Tahoma" w:cs="Tahoma"/>
                <w:sz w:val="21"/>
                <w:szCs w:val="21"/>
                <w:lang w:val="sr-Latn-RS"/>
              </w:rPr>
              <w:t xml:space="preserve">144 </w:t>
            </w:r>
          </w:p>
        </w:tc>
      </w:tr>
      <w:tr w:rsidR="00744D73" w:rsidRPr="00FF4AAE" w14:paraId="4C02EB70" w14:textId="77777777" w:rsidTr="008012D4">
        <w:trPr>
          <w:gridAfter w:val="2"/>
          <w:wAfter w:w="17" w:type="pct"/>
        </w:trPr>
        <w:tc>
          <w:tcPr>
            <w:tcW w:w="582" w:type="pct"/>
            <w:shd w:val="clear" w:color="auto" w:fill="EDF1F9"/>
          </w:tcPr>
          <w:p w14:paraId="220AC841" w14:textId="77777777" w:rsidR="00744D73" w:rsidRPr="00FF4AAE" w:rsidRDefault="00744D73" w:rsidP="008012D4">
            <w:pPr>
              <w:spacing w:after="160" w:line="259" w:lineRule="auto"/>
              <w:jc w:val="both"/>
              <w:rPr>
                <w:rFonts w:ascii="Tahoma" w:hAnsi="Tahoma" w:cs="Tahoma"/>
                <w:b/>
                <w:bCs/>
                <w:color w:val="1F3864" w:themeColor="accent1" w:themeShade="80"/>
                <w:sz w:val="21"/>
                <w:szCs w:val="21"/>
                <w:lang w:val="sr-Cyrl-RS"/>
              </w:rPr>
            </w:pPr>
            <w:r w:rsidRPr="00FF4AAE">
              <w:rPr>
                <w:rFonts w:ascii="Tahoma" w:hAnsi="Tahoma" w:cs="Tahoma"/>
                <w:b/>
                <w:bCs/>
                <w:color w:val="1F3864" w:themeColor="accent1" w:themeShade="80"/>
                <w:sz w:val="21"/>
                <w:szCs w:val="21"/>
                <w:lang w:val="sr-Cyrl-RS"/>
              </w:rPr>
              <w:t>2018</w:t>
            </w:r>
          </w:p>
        </w:tc>
        <w:tc>
          <w:tcPr>
            <w:tcW w:w="805" w:type="pct"/>
            <w:gridSpan w:val="2"/>
            <w:shd w:val="clear" w:color="auto" w:fill="EDF1F9"/>
          </w:tcPr>
          <w:p w14:paraId="12B1381D" w14:textId="77777777" w:rsidR="00744D73" w:rsidRPr="00FF4AAE" w:rsidRDefault="00744D73" w:rsidP="008012D4">
            <w:pPr>
              <w:spacing w:after="160" w:line="259" w:lineRule="auto"/>
              <w:jc w:val="right"/>
              <w:rPr>
                <w:rFonts w:ascii="Tahoma" w:hAnsi="Tahoma" w:cs="Tahoma"/>
                <w:sz w:val="21"/>
                <w:szCs w:val="21"/>
                <w:lang w:val="sr-Cyrl-RS"/>
              </w:rPr>
            </w:pPr>
            <w:r>
              <w:rPr>
                <w:rFonts w:ascii="Tahoma" w:hAnsi="Tahoma" w:cs="Tahoma"/>
                <w:sz w:val="21"/>
                <w:szCs w:val="21"/>
                <w:lang w:val="sr-Cyrl-RS"/>
              </w:rPr>
              <w:t>0,03</w:t>
            </w:r>
          </w:p>
        </w:tc>
        <w:tc>
          <w:tcPr>
            <w:tcW w:w="666" w:type="pct"/>
            <w:gridSpan w:val="2"/>
            <w:shd w:val="clear" w:color="auto" w:fill="EDF1F9"/>
          </w:tcPr>
          <w:p w14:paraId="33C2637D" w14:textId="77777777" w:rsidR="00744D73" w:rsidRPr="00FF4AAE" w:rsidRDefault="00744D73" w:rsidP="008012D4">
            <w:pPr>
              <w:spacing w:after="160" w:line="259" w:lineRule="auto"/>
              <w:jc w:val="right"/>
              <w:rPr>
                <w:rFonts w:ascii="Tahoma" w:hAnsi="Tahoma" w:cs="Tahoma"/>
                <w:sz w:val="21"/>
                <w:szCs w:val="21"/>
                <w:lang w:val="sr-Cyrl-RS"/>
              </w:rPr>
            </w:pPr>
            <w:r>
              <w:rPr>
                <w:rFonts w:ascii="Tahoma" w:hAnsi="Tahoma" w:cs="Tahoma"/>
                <w:sz w:val="21"/>
                <w:szCs w:val="21"/>
                <w:lang w:val="sr-Cyrl-RS"/>
              </w:rPr>
              <w:t>0,03</w:t>
            </w:r>
          </w:p>
        </w:tc>
        <w:tc>
          <w:tcPr>
            <w:tcW w:w="794" w:type="pct"/>
            <w:gridSpan w:val="2"/>
            <w:shd w:val="clear" w:color="auto" w:fill="EDF1F9"/>
          </w:tcPr>
          <w:p w14:paraId="436F79AB" w14:textId="77777777" w:rsidR="00744D73" w:rsidRPr="00FF4AAE" w:rsidRDefault="00744D73" w:rsidP="008012D4">
            <w:pPr>
              <w:spacing w:after="160" w:line="259" w:lineRule="auto"/>
              <w:jc w:val="right"/>
              <w:rPr>
                <w:rFonts w:ascii="Tahoma" w:hAnsi="Tahoma" w:cs="Tahoma"/>
                <w:sz w:val="21"/>
                <w:szCs w:val="21"/>
                <w:lang w:val="sr-Cyrl-RS"/>
              </w:rPr>
            </w:pPr>
            <w:r>
              <w:rPr>
                <w:rFonts w:ascii="Tahoma" w:hAnsi="Tahoma" w:cs="Tahoma"/>
                <w:sz w:val="21"/>
                <w:szCs w:val="21"/>
                <w:lang w:val="sr-Cyrl-RS"/>
              </w:rPr>
              <w:t>208</w:t>
            </w:r>
          </w:p>
        </w:tc>
        <w:tc>
          <w:tcPr>
            <w:tcW w:w="634" w:type="pct"/>
            <w:gridSpan w:val="3"/>
            <w:shd w:val="clear" w:color="auto" w:fill="EDF1F9"/>
          </w:tcPr>
          <w:p w14:paraId="269B64FF" w14:textId="77777777" w:rsidR="00744D73" w:rsidRPr="00FF4AAE" w:rsidRDefault="00744D73" w:rsidP="008012D4">
            <w:pPr>
              <w:spacing w:after="160" w:line="259" w:lineRule="auto"/>
              <w:jc w:val="right"/>
              <w:rPr>
                <w:rFonts w:ascii="Tahoma" w:hAnsi="Tahoma" w:cs="Tahoma"/>
                <w:sz w:val="21"/>
                <w:szCs w:val="21"/>
                <w:lang w:val="sr-Cyrl-RS"/>
              </w:rPr>
            </w:pPr>
            <w:r>
              <w:rPr>
                <w:rFonts w:ascii="Tahoma" w:hAnsi="Tahoma" w:cs="Tahoma"/>
                <w:sz w:val="21"/>
                <w:szCs w:val="21"/>
                <w:lang w:val="sr-Cyrl-RS"/>
              </w:rPr>
              <w:t>0,16</w:t>
            </w:r>
          </w:p>
        </w:tc>
        <w:tc>
          <w:tcPr>
            <w:tcW w:w="708" w:type="pct"/>
            <w:gridSpan w:val="2"/>
            <w:shd w:val="clear" w:color="auto" w:fill="EDF1F9"/>
          </w:tcPr>
          <w:p w14:paraId="327E563E" w14:textId="77777777" w:rsidR="00744D73" w:rsidRPr="009003DF" w:rsidRDefault="00744D73" w:rsidP="008012D4">
            <w:pPr>
              <w:spacing w:after="160" w:line="259" w:lineRule="auto"/>
              <w:jc w:val="right"/>
              <w:rPr>
                <w:rFonts w:ascii="Tahoma" w:hAnsi="Tahoma" w:cs="Tahoma"/>
                <w:sz w:val="21"/>
                <w:szCs w:val="21"/>
                <w:lang w:val="sr-Latn-RS"/>
              </w:rPr>
            </w:pPr>
            <w:r>
              <w:rPr>
                <w:rFonts w:ascii="Tahoma" w:hAnsi="Tahoma" w:cs="Tahoma"/>
                <w:sz w:val="21"/>
                <w:szCs w:val="21"/>
                <w:lang w:val="sr-Cyrl-RS"/>
              </w:rPr>
              <w:t>0,14</w:t>
            </w:r>
          </w:p>
        </w:tc>
        <w:tc>
          <w:tcPr>
            <w:tcW w:w="794" w:type="pct"/>
            <w:gridSpan w:val="3"/>
            <w:shd w:val="clear" w:color="auto" w:fill="EDF1F9"/>
          </w:tcPr>
          <w:p w14:paraId="33BF4691" w14:textId="77777777" w:rsidR="00744D73" w:rsidRPr="00FF4AAE" w:rsidRDefault="00744D73" w:rsidP="008012D4">
            <w:pPr>
              <w:spacing w:after="160" w:line="259" w:lineRule="auto"/>
              <w:jc w:val="right"/>
              <w:rPr>
                <w:rFonts w:ascii="Tahoma" w:hAnsi="Tahoma" w:cs="Tahoma"/>
                <w:sz w:val="21"/>
                <w:szCs w:val="21"/>
                <w:lang w:val="sr-Cyrl-RS"/>
              </w:rPr>
            </w:pPr>
            <w:r>
              <w:rPr>
                <w:rFonts w:ascii="Tahoma" w:hAnsi="Tahoma" w:cs="Tahoma"/>
                <w:sz w:val="21"/>
                <w:szCs w:val="21"/>
                <w:lang w:val="sr-Cyrl-RS"/>
              </w:rPr>
              <w:t>201</w:t>
            </w:r>
          </w:p>
        </w:tc>
      </w:tr>
    </w:tbl>
    <w:p w14:paraId="270EFB76" w14:textId="77777777" w:rsidR="00744D73" w:rsidRPr="00FF4AAE" w:rsidRDefault="00744D73" w:rsidP="00744D73">
      <w:pPr>
        <w:jc w:val="both"/>
        <w:rPr>
          <w:rFonts w:ascii="Tahoma" w:hAnsi="Tahoma" w:cs="Tahoma"/>
          <w:bCs/>
          <w:iCs/>
          <w:sz w:val="18"/>
          <w:szCs w:val="18"/>
          <w:lang w:val="sr-Cyrl-RS"/>
        </w:rPr>
      </w:pPr>
      <w:r w:rsidRPr="00FF4AAE">
        <w:rPr>
          <w:rFonts w:ascii="Tahoma" w:hAnsi="Tahoma" w:cs="Tahoma"/>
          <w:bCs/>
          <w:iCs/>
          <w:sz w:val="18"/>
          <w:szCs w:val="18"/>
          <w:lang w:val="sr-Cyrl-RS"/>
        </w:rPr>
        <w:t xml:space="preserve">Извор: </w:t>
      </w:r>
      <w:r>
        <w:rPr>
          <w:rFonts w:ascii="Tahoma" w:hAnsi="Tahoma" w:cs="Tahoma"/>
          <w:bCs/>
          <w:iCs/>
          <w:sz w:val="18"/>
          <w:szCs w:val="18"/>
          <w:lang w:val="sr-Cyrl-RS"/>
        </w:rPr>
        <w:t>„</w:t>
      </w:r>
      <w:r w:rsidRPr="00FF4AAE">
        <w:rPr>
          <w:rFonts w:ascii="Tahoma" w:hAnsi="Tahoma" w:cs="Tahoma"/>
          <w:bCs/>
          <w:i/>
          <w:sz w:val="18"/>
          <w:szCs w:val="18"/>
          <w:lang w:val="sr-Cyrl-RS"/>
        </w:rPr>
        <w:t>Мапирање услуга социјалне заштите и материјалне подршке у надлежности ЈЛС у Републици Србији</w:t>
      </w:r>
      <w:r>
        <w:rPr>
          <w:rFonts w:ascii="Tahoma" w:hAnsi="Tahoma" w:cs="Tahoma"/>
          <w:bCs/>
          <w:iCs/>
          <w:sz w:val="18"/>
          <w:szCs w:val="18"/>
          <w:lang w:val="sr-Cyrl-RS"/>
        </w:rPr>
        <w:t xml:space="preserve">“ (2020), </w:t>
      </w:r>
      <w:r w:rsidRPr="00FF4AAE">
        <w:rPr>
          <w:rFonts w:ascii="Tahoma" w:hAnsi="Tahoma" w:cs="Tahoma"/>
          <w:bCs/>
          <w:iCs/>
          <w:sz w:val="18"/>
          <w:szCs w:val="18"/>
          <w:lang w:val="sr-Cyrl-RS"/>
        </w:rPr>
        <w:t>Тим за социјално укључивање и смањење сиромаштва Владе Републике Србије</w:t>
      </w:r>
      <w:r>
        <w:rPr>
          <w:rFonts w:ascii="Tahoma" w:hAnsi="Tahoma" w:cs="Tahoma"/>
          <w:bCs/>
          <w:iCs/>
          <w:sz w:val="18"/>
          <w:szCs w:val="18"/>
          <w:lang w:val="sr-Cyrl-RS"/>
        </w:rPr>
        <w:t xml:space="preserve">. </w:t>
      </w:r>
      <w:r w:rsidRPr="00FF4AAE">
        <w:rPr>
          <w:rFonts w:ascii="Tahoma" w:hAnsi="Tahoma" w:cs="Tahoma"/>
          <w:bCs/>
          <w:iCs/>
          <w:sz w:val="18"/>
          <w:szCs w:val="18"/>
          <w:lang w:val="sr-Cyrl-RS"/>
        </w:rPr>
        <w:t xml:space="preserve"> </w:t>
      </w:r>
    </w:p>
    <w:p w14:paraId="04D19432" w14:textId="77777777" w:rsidR="00744D73" w:rsidRPr="00CE7B0D" w:rsidRDefault="00744D73" w:rsidP="00744D73">
      <w:pPr>
        <w:jc w:val="both"/>
        <w:rPr>
          <w:rFonts w:ascii="Tahoma" w:hAnsi="Tahoma" w:cs="Tahoma"/>
          <w:bCs/>
          <w:iCs/>
          <w:sz w:val="18"/>
          <w:szCs w:val="18"/>
          <w:lang w:val="sr-Cyrl-RS"/>
        </w:rPr>
      </w:pPr>
      <w:r w:rsidRPr="00FF4AAE">
        <w:rPr>
          <w:rFonts w:ascii="Tahoma" w:hAnsi="Tahoma" w:cs="Tahoma"/>
          <w:bCs/>
          <w:iCs/>
          <w:sz w:val="18"/>
          <w:szCs w:val="18"/>
          <w:lang w:val="sr-Cyrl-RS"/>
        </w:rPr>
        <w:t>Напомена: ОСО – општа стопа обухвата</w:t>
      </w:r>
      <w:r>
        <w:rPr>
          <w:rFonts w:ascii="Tahoma" w:hAnsi="Tahoma" w:cs="Tahoma"/>
          <w:bCs/>
          <w:iCs/>
          <w:sz w:val="18"/>
          <w:szCs w:val="18"/>
          <w:lang w:val="sr-Cyrl-RS"/>
        </w:rPr>
        <w:t>;</w:t>
      </w:r>
      <w:r w:rsidRPr="00FF4AAE">
        <w:rPr>
          <w:rFonts w:ascii="Tahoma" w:hAnsi="Tahoma" w:cs="Tahoma"/>
          <w:bCs/>
          <w:iCs/>
          <w:sz w:val="18"/>
          <w:szCs w:val="18"/>
          <w:lang w:val="sr-Cyrl-RS"/>
        </w:rPr>
        <w:t xml:space="preserve"> ХСО – хипотетичка стопа обухвата</w:t>
      </w:r>
      <w:r>
        <w:rPr>
          <w:rFonts w:ascii="Tahoma" w:hAnsi="Tahoma" w:cs="Tahoma"/>
          <w:bCs/>
          <w:iCs/>
          <w:sz w:val="18"/>
          <w:szCs w:val="18"/>
          <w:lang w:val="sr-Cyrl-RS"/>
        </w:rPr>
        <w:t>;</w:t>
      </w:r>
      <w:r w:rsidRPr="00FF4AAE">
        <w:rPr>
          <w:rFonts w:ascii="Tahoma" w:hAnsi="Tahoma" w:cs="Tahoma"/>
          <w:bCs/>
          <w:iCs/>
          <w:sz w:val="18"/>
          <w:szCs w:val="18"/>
          <w:lang w:val="sr-Cyrl-RS"/>
        </w:rPr>
        <w:t xml:space="preserve"> ЈТУ – јединични трошак услуге</w:t>
      </w:r>
      <w:r>
        <w:rPr>
          <w:rFonts w:ascii="Tahoma" w:hAnsi="Tahoma" w:cs="Tahoma"/>
          <w:bCs/>
          <w:iCs/>
          <w:sz w:val="18"/>
          <w:szCs w:val="18"/>
          <w:lang w:val="sr-Cyrl-RS"/>
        </w:rPr>
        <w:t>.</w:t>
      </w:r>
    </w:p>
    <w:p w14:paraId="772EE9B9" w14:textId="77777777" w:rsidR="00744D73" w:rsidRPr="00637F39" w:rsidRDefault="00744D73" w:rsidP="00744D73">
      <w:pPr>
        <w:jc w:val="both"/>
        <w:rPr>
          <w:rFonts w:ascii="Tahoma" w:hAnsi="Tahoma" w:cs="Tahoma"/>
          <w:bCs/>
          <w:iCs/>
          <w:color w:val="000000" w:themeColor="text1"/>
          <w:sz w:val="18"/>
          <w:szCs w:val="18"/>
          <w:lang w:val="sr-Cyrl-RS"/>
        </w:rPr>
      </w:pPr>
      <w:r>
        <w:rPr>
          <w:rFonts w:ascii="Tahoma" w:hAnsi="Tahoma" w:cs="Tahoma"/>
          <w:bCs/>
          <w:iCs/>
          <w:color w:val="000000" w:themeColor="text1"/>
          <w:sz w:val="18"/>
          <w:szCs w:val="18"/>
          <w:lang w:val="sr-Cyrl-RS"/>
        </w:rPr>
        <w:lastRenderedPageBreak/>
        <w:t>Просек Србија-југ је непондерисан</w:t>
      </w:r>
    </w:p>
    <w:p w14:paraId="5DC95AD0" w14:textId="77777777" w:rsidR="00744D73" w:rsidRDefault="00744D73" w:rsidP="00744D73">
      <w:pPr>
        <w:jc w:val="both"/>
        <w:rPr>
          <w:rFonts w:ascii="Tahoma" w:hAnsi="Tahoma" w:cs="Tahoma"/>
          <w:lang w:val="sr-Cyrl-RS"/>
        </w:rPr>
      </w:pPr>
    </w:p>
    <w:p w14:paraId="10ADBA1A" w14:textId="77777777" w:rsidR="00744D73" w:rsidRPr="00744D73" w:rsidRDefault="00744D73" w:rsidP="00744D73">
      <w:pPr>
        <w:spacing w:after="160" w:line="259" w:lineRule="auto"/>
        <w:jc w:val="both"/>
        <w:rPr>
          <w:rFonts w:ascii="Tahoma" w:hAnsi="Tahoma" w:cs="Tahoma"/>
          <w:sz w:val="22"/>
          <w:szCs w:val="22"/>
          <w:lang w:val="sr-Cyrl-RS"/>
        </w:rPr>
      </w:pPr>
      <w:r w:rsidRPr="00744D73">
        <w:rPr>
          <w:rFonts w:ascii="Tahoma" w:hAnsi="Tahoma" w:cs="Tahoma"/>
          <w:sz w:val="22"/>
          <w:szCs w:val="22"/>
          <w:lang w:val="sr-Cyrl-RS"/>
        </w:rPr>
        <w:t xml:space="preserve">У односу на податке из 2015. године (Табела 6), доступност услуге је на истом нивоу, као и њена ефикасност. </w:t>
      </w:r>
    </w:p>
    <w:p w14:paraId="73C9376E" w14:textId="77777777" w:rsidR="00744D73" w:rsidRPr="00744D73" w:rsidRDefault="00744D73" w:rsidP="00744D73">
      <w:pPr>
        <w:spacing w:after="160" w:line="259" w:lineRule="auto"/>
        <w:jc w:val="both"/>
        <w:rPr>
          <w:rFonts w:ascii="Tahoma" w:hAnsi="Tahoma" w:cs="Tahoma"/>
          <w:sz w:val="22"/>
          <w:szCs w:val="22"/>
          <w:lang w:val="sr-Cyrl-RS"/>
        </w:rPr>
      </w:pPr>
      <w:r w:rsidRPr="00744D73">
        <w:rPr>
          <w:rFonts w:ascii="Tahoma" w:hAnsi="Tahoma" w:cs="Tahoma"/>
          <w:sz w:val="22"/>
          <w:szCs w:val="22"/>
          <w:lang w:val="sr-Cyrl-RS"/>
        </w:rPr>
        <w:t xml:space="preserve">Пружалац услуге припада јавном сектору (посебна служба при ЦСР) са обезбеђеном лиценцом за ову делатност. </w:t>
      </w:r>
    </w:p>
    <w:p w14:paraId="09607BD0" w14:textId="77777777" w:rsidR="00744D73" w:rsidRPr="00744D73" w:rsidRDefault="00744D73" w:rsidP="00744D73">
      <w:pPr>
        <w:spacing w:after="160" w:line="259" w:lineRule="auto"/>
        <w:jc w:val="both"/>
        <w:rPr>
          <w:rFonts w:ascii="Tahoma" w:hAnsi="Tahoma" w:cs="Tahoma"/>
          <w:sz w:val="22"/>
          <w:szCs w:val="22"/>
          <w:lang w:val="sr-Cyrl-RS"/>
        </w:rPr>
      </w:pPr>
      <w:r w:rsidRPr="00F1398E">
        <w:rPr>
          <w:rFonts w:ascii="Tahoma" w:hAnsi="Tahoma" w:cs="Tahoma"/>
          <w:b/>
          <w:color w:val="2F5496" w:themeColor="accent1" w:themeShade="BF"/>
          <w:sz w:val="22"/>
          <w:szCs w:val="22"/>
          <w:lang w:val="sr-Cyrl-RS"/>
        </w:rPr>
        <w:t>Дневни боравак за одрасле особе са инвалидитетом</w:t>
      </w:r>
      <w:r w:rsidRPr="00F1398E">
        <w:rPr>
          <w:rFonts w:ascii="Tahoma" w:hAnsi="Tahoma" w:cs="Tahoma"/>
          <w:color w:val="2F5496" w:themeColor="accent1" w:themeShade="BF"/>
          <w:sz w:val="22"/>
          <w:szCs w:val="22"/>
          <w:lang w:val="sr-Cyrl-RS"/>
        </w:rPr>
        <w:t xml:space="preserve"> </w:t>
      </w:r>
      <w:r w:rsidRPr="00744D73">
        <w:rPr>
          <w:rFonts w:ascii="Tahoma" w:hAnsi="Tahoma" w:cs="Tahoma"/>
          <w:sz w:val="22"/>
          <w:szCs w:val="22"/>
          <w:lang w:val="sr-Cyrl-RS"/>
        </w:rPr>
        <w:t>се обезбеђује за 12 корисника старости од 26 до 64 године, већински мушког пола и са градског подручја. Корисници услугу добијају током целе године континуирано, 8 сати дневно. Укупни расходи за услугу су износили 6,1 милион РСД и финансирају се доминантно из локалног буџета (82%), а разлика је обезбеђена кроз донаторска средства. Смедеревска Паланка је једна од 10 ЈЛС на подручју Србија–југ у којима се ова услуга обезбеђује.</w:t>
      </w:r>
      <w:r w:rsidRPr="00744D73">
        <w:rPr>
          <w:rStyle w:val="FootnoteReference"/>
          <w:rFonts w:ascii="Tahoma" w:hAnsi="Tahoma" w:cs="Tahoma"/>
          <w:sz w:val="22"/>
          <w:szCs w:val="22"/>
          <w:lang w:val="sr-Cyrl-RS"/>
        </w:rPr>
        <w:footnoteReference w:id="12"/>
      </w:r>
      <w:r w:rsidRPr="00744D73">
        <w:rPr>
          <w:rFonts w:ascii="Tahoma" w:hAnsi="Tahoma" w:cs="Tahoma"/>
          <w:sz w:val="22"/>
          <w:szCs w:val="22"/>
          <w:lang w:val="sr-Cyrl-RS"/>
        </w:rPr>
        <w:t xml:space="preserve"> Пружалац услуге припада јавном сектору (посебна служба при ЦСР) и лиценциран је за обављање ове делатности. </w:t>
      </w:r>
    </w:p>
    <w:p w14:paraId="2D6EE871" w14:textId="399C634A" w:rsidR="006E2742" w:rsidRDefault="00744D73" w:rsidP="001D4570">
      <w:pPr>
        <w:spacing w:after="160" w:line="259" w:lineRule="auto"/>
        <w:jc w:val="both"/>
        <w:rPr>
          <w:rFonts w:ascii="Tahoma" w:hAnsi="Tahoma" w:cs="Tahoma"/>
          <w:sz w:val="22"/>
          <w:szCs w:val="22"/>
          <w:lang w:val="sr-Cyrl-RS"/>
        </w:rPr>
      </w:pPr>
      <w:r w:rsidRPr="00831D45">
        <w:rPr>
          <w:rFonts w:ascii="Tahoma" w:hAnsi="Tahoma" w:cs="Tahoma"/>
          <w:sz w:val="22"/>
          <w:szCs w:val="22"/>
          <w:lang w:val="sr-Cyrl-RS"/>
        </w:rPr>
        <w:t xml:space="preserve">Од 2021. године у општини се пружа и услуга </w:t>
      </w:r>
      <w:r w:rsidRPr="00831D45">
        <w:rPr>
          <w:rFonts w:ascii="Tahoma" w:hAnsi="Tahoma" w:cs="Tahoma"/>
          <w:b/>
          <w:bCs/>
          <w:color w:val="2F5496" w:themeColor="accent1" w:themeShade="BF"/>
          <w:sz w:val="22"/>
          <w:szCs w:val="22"/>
          <w:lang w:val="sr-Cyrl-RS"/>
        </w:rPr>
        <w:t>лични пратилац детета.</w:t>
      </w:r>
      <w:r w:rsidRPr="00831D45">
        <w:rPr>
          <w:rFonts w:ascii="Tahoma" w:hAnsi="Tahoma" w:cs="Tahoma"/>
          <w:sz w:val="22"/>
          <w:szCs w:val="22"/>
          <w:vertAlign w:val="superscript"/>
          <w:lang w:val="sr-Cyrl-RS"/>
        </w:rPr>
        <w:footnoteReference w:id="13"/>
      </w:r>
      <w:r w:rsidRPr="00831D45">
        <w:rPr>
          <w:rFonts w:ascii="Tahoma" w:hAnsi="Tahoma" w:cs="Tahoma"/>
          <w:sz w:val="22"/>
          <w:szCs w:val="22"/>
          <w:lang w:val="sr-Cyrl-RS"/>
        </w:rPr>
        <w:t xml:space="preserve"> Услугу </w:t>
      </w:r>
      <w:r w:rsidR="00723CBE">
        <w:rPr>
          <w:rFonts w:ascii="Tahoma" w:hAnsi="Tahoma" w:cs="Tahoma"/>
          <w:sz w:val="22"/>
          <w:szCs w:val="22"/>
          <w:lang w:val="sr-Cyrl-RS"/>
        </w:rPr>
        <w:t xml:space="preserve">је </w:t>
      </w:r>
      <w:r w:rsidRPr="00831D45">
        <w:rPr>
          <w:rFonts w:ascii="Tahoma" w:hAnsi="Tahoma" w:cs="Tahoma"/>
          <w:sz w:val="22"/>
          <w:szCs w:val="22"/>
          <w:lang w:val="sr-Cyrl-RS"/>
        </w:rPr>
        <w:t xml:space="preserve">у </w:t>
      </w:r>
      <w:r w:rsidR="00723CBE">
        <w:rPr>
          <w:rFonts w:ascii="Tahoma" w:hAnsi="Tahoma" w:cs="Tahoma"/>
          <w:sz w:val="22"/>
          <w:szCs w:val="22"/>
          <w:lang w:val="sr-Cyrl-RS"/>
        </w:rPr>
        <w:t>школској години 2021/</w:t>
      </w:r>
      <w:r w:rsidRPr="00831D45">
        <w:rPr>
          <w:rFonts w:ascii="Tahoma" w:hAnsi="Tahoma" w:cs="Tahoma"/>
          <w:sz w:val="22"/>
          <w:szCs w:val="22"/>
          <w:lang w:val="sr-Cyrl-RS"/>
        </w:rPr>
        <w:t>2022 добија</w:t>
      </w:r>
      <w:r w:rsidR="00723CBE">
        <w:rPr>
          <w:rFonts w:ascii="Tahoma" w:hAnsi="Tahoma" w:cs="Tahoma"/>
          <w:sz w:val="22"/>
          <w:szCs w:val="22"/>
          <w:lang w:val="sr-Cyrl-RS"/>
        </w:rPr>
        <w:t>ло</w:t>
      </w:r>
      <w:r w:rsidRPr="00831D45">
        <w:rPr>
          <w:rFonts w:ascii="Tahoma" w:hAnsi="Tahoma" w:cs="Tahoma"/>
          <w:sz w:val="22"/>
          <w:szCs w:val="22"/>
          <w:lang w:val="sr-Cyrl-RS"/>
        </w:rPr>
        <w:t xml:space="preserve"> </w:t>
      </w:r>
      <w:r w:rsidR="00723CBE">
        <w:rPr>
          <w:rFonts w:ascii="Tahoma" w:hAnsi="Tahoma" w:cs="Tahoma"/>
          <w:sz w:val="22"/>
          <w:szCs w:val="22"/>
          <w:lang w:val="sr-Latn-RS"/>
        </w:rPr>
        <w:t>3</w:t>
      </w:r>
      <w:r w:rsidRPr="00831D45">
        <w:rPr>
          <w:rFonts w:ascii="Tahoma" w:hAnsi="Tahoma" w:cs="Tahoma"/>
          <w:sz w:val="22"/>
          <w:szCs w:val="22"/>
          <w:lang w:val="sr-Cyrl-RS"/>
        </w:rPr>
        <w:t xml:space="preserve">6 корисника, </w:t>
      </w:r>
      <w:r w:rsidR="00723CBE">
        <w:rPr>
          <w:rFonts w:ascii="Tahoma" w:hAnsi="Tahoma" w:cs="Tahoma"/>
          <w:sz w:val="22"/>
          <w:szCs w:val="22"/>
          <w:lang w:val="sr-Cyrl-RS"/>
        </w:rPr>
        <w:t xml:space="preserve">25 дечака и 11 девојчица. У школској години 2022/2023 услугу је добијало 29 корисника. </w:t>
      </w:r>
      <w:r w:rsidRPr="00831D45">
        <w:rPr>
          <w:rFonts w:ascii="Tahoma" w:hAnsi="Tahoma" w:cs="Tahoma"/>
          <w:sz w:val="22"/>
          <w:szCs w:val="22"/>
          <w:lang w:val="sr-Cyrl-RS"/>
        </w:rPr>
        <w:t>Услуга се пружа 40 сати недељно</w:t>
      </w:r>
      <w:r w:rsidR="00723CBE">
        <w:rPr>
          <w:rFonts w:ascii="Tahoma" w:hAnsi="Tahoma" w:cs="Tahoma"/>
          <w:sz w:val="22"/>
          <w:szCs w:val="22"/>
          <w:lang w:val="sr-Cyrl-RS"/>
        </w:rPr>
        <w:t xml:space="preserve"> и доступна је током целе године. </w:t>
      </w:r>
      <w:r w:rsidRPr="00831D45">
        <w:rPr>
          <w:rFonts w:ascii="Tahoma" w:hAnsi="Tahoma" w:cs="Tahoma"/>
          <w:sz w:val="22"/>
          <w:szCs w:val="22"/>
          <w:lang w:val="sr-Cyrl-RS"/>
        </w:rPr>
        <w:t xml:space="preserve">Укупни годишњи расходи за услугу </w:t>
      </w:r>
      <w:r w:rsidR="00723CBE">
        <w:rPr>
          <w:rFonts w:ascii="Tahoma" w:hAnsi="Tahoma" w:cs="Tahoma"/>
          <w:sz w:val="22"/>
          <w:szCs w:val="22"/>
          <w:lang w:val="sr-Cyrl-RS"/>
        </w:rPr>
        <w:t xml:space="preserve">у 2019. години су износили </w:t>
      </w:r>
      <w:r w:rsidRPr="00831D45">
        <w:rPr>
          <w:rFonts w:ascii="Tahoma" w:hAnsi="Tahoma" w:cs="Tahoma"/>
          <w:sz w:val="22"/>
          <w:szCs w:val="22"/>
          <w:lang w:val="sr-Cyrl-RS"/>
        </w:rPr>
        <w:t>1</w:t>
      </w:r>
      <w:r w:rsidR="00723CBE">
        <w:rPr>
          <w:rFonts w:ascii="Tahoma" w:hAnsi="Tahoma" w:cs="Tahoma"/>
          <w:sz w:val="22"/>
          <w:szCs w:val="22"/>
          <w:lang w:val="sr-Cyrl-RS"/>
        </w:rPr>
        <w:t>9</w:t>
      </w:r>
      <w:r w:rsidRPr="00831D45">
        <w:rPr>
          <w:rFonts w:ascii="Tahoma" w:hAnsi="Tahoma" w:cs="Tahoma"/>
          <w:sz w:val="22"/>
          <w:szCs w:val="22"/>
          <w:lang w:val="sr-Cyrl-RS"/>
        </w:rPr>
        <w:t xml:space="preserve"> милиона РСД. Пружалац услуге поседује лиценцу и припада </w:t>
      </w:r>
      <w:r w:rsidR="001D4570" w:rsidRPr="00831D45">
        <w:rPr>
          <w:rFonts w:ascii="Tahoma" w:hAnsi="Tahoma" w:cs="Tahoma"/>
          <w:sz w:val="22"/>
          <w:szCs w:val="22"/>
          <w:lang w:val="sr-Cyrl-RS"/>
        </w:rPr>
        <w:t xml:space="preserve">недржавном сектору </w:t>
      </w:r>
      <w:r w:rsidRPr="00831D45">
        <w:rPr>
          <w:rFonts w:ascii="Tahoma" w:hAnsi="Tahoma" w:cs="Tahoma"/>
          <w:sz w:val="22"/>
          <w:szCs w:val="22"/>
          <w:lang w:val="sr-Cyrl-RS"/>
        </w:rPr>
        <w:t>(организација цивилног друштва).</w:t>
      </w:r>
    </w:p>
    <w:p w14:paraId="26C34E0E" w14:textId="21692CCA" w:rsidR="00DA2B74" w:rsidRPr="000D7FC3" w:rsidRDefault="006E2742" w:rsidP="007327A7">
      <w:pPr>
        <w:pStyle w:val="Heading3"/>
        <w:spacing w:before="0" w:after="160" w:line="259" w:lineRule="auto"/>
        <w:jc w:val="both"/>
        <w:rPr>
          <w:b/>
          <w:iCs/>
          <w:color w:val="1F4E79" w:themeColor="accent5" w:themeShade="80"/>
          <w:lang w:val="sr-Cyrl-RS"/>
        </w:rPr>
      </w:pPr>
      <w:r w:rsidRPr="000D7FC3">
        <w:rPr>
          <w:rFonts w:ascii="Tahoma" w:hAnsi="Tahoma" w:cs="Tahoma"/>
          <w:b/>
          <w:bCs/>
          <w:color w:val="1F4E79" w:themeColor="accent5" w:themeShade="80"/>
          <w:lang w:val="sr-Cyrl-RS"/>
        </w:rPr>
        <w:t>Материјална подршка у надлежности локалне самоуправе</w:t>
      </w:r>
    </w:p>
    <w:p w14:paraId="34FAD80C" w14:textId="535F6E63" w:rsidR="005D5AEB" w:rsidRPr="00D05A88" w:rsidRDefault="006E2742" w:rsidP="007327A7">
      <w:pPr>
        <w:spacing w:after="160" w:line="259" w:lineRule="auto"/>
        <w:jc w:val="both"/>
        <w:rPr>
          <w:rFonts w:ascii="Tahoma" w:hAnsi="Tahoma" w:cs="Tahoma"/>
          <w:iCs/>
          <w:sz w:val="22"/>
          <w:szCs w:val="22"/>
          <w:lang w:val="sr-Cyrl-RS"/>
        </w:rPr>
      </w:pPr>
      <w:r w:rsidRPr="00315889">
        <w:rPr>
          <w:rFonts w:ascii="Tahoma" w:hAnsi="Tahoma" w:cs="Tahoma"/>
          <w:b/>
          <w:bCs/>
          <w:iCs/>
          <w:color w:val="2F5496" w:themeColor="accent1" w:themeShade="BF"/>
          <w:sz w:val="22"/>
          <w:szCs w:val="22"/>
          <w:lang w:val="sr-Cyrl-RS"/>
        </w:rPr>
        <w:t xml:space="preserve">Укупни расходи за материјалну подршку у надлежности ЈЛС у </w:t>
      </w:r>
      <w:r w:rsidR="00831D45">
        <w:rPr>
          <w:rFonts w:ascii="Tahoma" w:hAnsi="Tahoma" w:cs="Tahoma"/>
          <w:b/>
          <w:bCs/>
          <w:iCs/>
          <w:color w:val="2F5496" w:themeColor="accent1" w:themeShade="BF"/>
          <w:sz w:val="22"/>
          <w:szCs w:val="22"/>
          <w:lang w:val="sr-Cyrl-RS"/>
        </w:rPr>
        <w:t>општини Смедеревска Паланка</w:t>
      </w:r>
      <w:r w:rsidRPr="00315889">
        <w:rPr>
          <w:rFonts w:ascii="Tahoma" w:hAnsi="Tahoma" w:cs="Tahoma"/>
          <w:b/>
          <w:bCs/>
          <w:iCs/>
          <w:color w:val="2F5496" w:themeColor="accent1" w:themeShade="BF"/>
          <w:sz w:val="22"/>
          <w:szCs w:val="22"/>
          <w:lang w:val="sr-Cyrl-RS"/>
        </w:rPr>
        <w:t xml:space="preserve"> у 2018. години износили </w:t>
      </w:r>
      <w:r w:rsidRPr="00CF7521">
        <w:rPr>
          <w:rFonts w:ascii="Tahoma" w:hAnsi="Tahoma" w:cs="Tahoma"/>
          <w:b/>
          <w:bCs/>
          <w:iCs/>
          <w:color w:val="2F5496" w:themeColor="accent1" w:themeShade="BF"/>
          <w:sz w:val="22"/>
          <w:szCs w:val="22"/>
          <w:lang w:val="sr-Cyrl-RS"/>
        </w:rPr>
        <w:t xml:space="preserve">су </w:t>
      </w:r>
      <w:r w:rsidR="002A1A31" w:rsidRPr="00CF7521">
        <w:rPr>
          <w:rFonts w:ascii="Tahoma" w:hAnsi="Tahoma" w:cs="Tahoma"/>
          <w:b/>
          <w:bCs/>
          <w:iCs/>
          <w:color w:val="2F5496" w:themeColor="accent1" w:themeShade="BF"/>
          <w:sz w:val="22"/>
          <w:szCs w:val="22"/>
          <w:lang w:val="sr-Latn-RS"/>
        </w:rPr>
        <w:t>8</w:t>
      </w:r>
      <w:r w:rsidR="000D448D" w:rsidRPr="00CF7521">
        <w:rPr>
          <w:rFonts w:ascii="Tahoma" w:hAnsi="Tahoma" w:cs="Tahoma"/>
          <w:b/>
          <w:bCs/>
          <w:iCs/>
          <w:color w:val="2F5496" w:themeColor="accent1" w:themeShade="BF"/>
          <w:sz w:val="22"/>
          <w:szCs w:val="22"/>
          <w:lang w:val="sr-Cyrl-RS"/>
        </w:rPr>
        <w:t>,6</w:t>
      </w:r>
      <w:r w:rsidRPr="00CF7521">
        <w:rPr>
          <w:rFonts w:ascii="Tahoma" w:hAnsi="Tahoma" w:cs="Tahoma"/>
          <w:b/>
          <w:bCs/>
          <w:iCs/>
          <w:color w:val="2F5496" w:themeColor="accent1" w:themeShade="BF"/>
          <w:sz w:val="22"/>
          <w:szCs w:val="22"/>
          <w:lang w:val="sr-Cyrl-RS"/>
        </w:rPr>
        <w:t xml:space="preserve"> милиона РСД, </w:t>
      </w:r>
      <w:r w:rsidR="00D05A88" w:rsidRPr="00CF7521">
        <w:rPr>
          <w:rFonts w:ascii="Tahoma" w:hAnsi="Tahoma" w:cs="Tahoma"/>
          <w:b/>
          <w:bCs/>
          <w:iCs/>
          <w:color w:val="2F5496" w:themeColor="accent1" w:themeShade="BF"/>
          <w:sz w:val="22"/>
          <w:szCs w:val="22"/>
          <w:lang w:val="sr-Cyrl-RS"/>
        </w:rPr>
        <w:t xml:space="preserve">односно </w:t>
      </w:r>
      <w:r w:rsidR="00C41C66" w:rsidRPr="00CF7521">
        <w:rPr>
          <w:rFonts w:ascii="Tahoma" w:hAnsi="Tahoma" w:cs="Tahoma"/>
          <w:b/>
          <w:bCs/>
          <w:iCs/>
          <w:color w:val="2F5496" w:themeColor="accent1" w:themeShade="BF"/>
          <w:sz w:val="22"/>
          <w:szCs w:val="22"/>
          <w:lang w:val="sr-Cyrl-RS"/>
        </w:rPr>
        <w:t xml:space="preserve">приближно </w:t>
      </w:r>
      <w:r w:rsidR="000D448D" w:rsidRPr="00CF7521">
        <w:rPr>
          <w:rFonts w:ascii="Tahoma" w:hAnsi="Tahoma" w:cs="Tahoma"/>
          <w:b/>
          <w:bCs/>
          <w:iCs/>
          <w:color w:val="2F5496" w:themeColor="accent1" w:themeShade="BF"/>
          <w:sz w:val="22"/>
          <w:szCs w:val="22"/>
          <w:lang w:val="sr-Cyrl-RS"/>
        </w:rPr>
        <w:t>188</w:t>
      </w:r>
      <w:r w:rsidRPr="00CF7521">
        <w:rPr>
          <w:rFonts w:ascii="Tahoma" w:hAnsi="Tahoma" w:cs="Tahoma"/>
          <w:b/>
          <w:bCs/>
          <w:iCs/>
          <w:color w:val="2F5496" w:themeColor="accent1" w:themeShade="BF"/>
          <w:sz w:val="22"/>
          <w:szCs w:val="22"/>
          <w:lang w:val="sr-Cyrl-RS"/>
        </w:rPr>
        <w:t xml:space="preserve"> РСД по становнику</w:t>
      </w:r>
      <w:r w:rsidR="00173CAD" w:rsidRPr="00CF7521">
        <w:rPr>
          <w:rFonts w:ascii="Tahoma" w:hAnsi="Tahoma" w:cs="Tahoma"/>
          <w:b/>
          <w:bCs/>
          <w:iCs/>
          <w:color w:val="000000" w:themeColor="text1"/>
          <w:sz w:val="22"/>
          <w:szCs w:val="22"/>
          <w:lang w:val="sr-Cyrl-RS"/>
        </w:rPr>
        <w:t>.</w:t>
      </w:r>
      <w:r w:rsidR="00DA2B74" w:rsidRPr="00CF7521">
        <w:rPr>
          <w:rStyle w:val="FootnoteReference"/>
          <w:rFonts w:ascii="Tahoma" w:hAnsi="Tahoma" w:cs="Tahoma"/>
          <w:iCs/>
          <w:color w:val="000000" w:themeColor="text1"/>
          <w:sz w:val="22"/>
          <w:szCs w:val="22"/>
          <w:lang w:val="sr-Cyrl-RS"/>
        </w:rPr>
        <w:footnoteReference w:id="14"/>
      </w:r>
      <w:r w:rsidRPr="00CF7521">
        <w:rPr>
          <w:rFonts w:ascii="Tahoma" w:hAnsi="Tahoma" w:cs="Tahoma"/>
          <w:iCs/>
          <w:color w:val="000000" w:themeColor="text1"/>
          <w:sz w:val="22"/>
          <w:szCs w:val="22"/>
          <w:lang w:val="sr-Cyrl-RS"/>
        </w:rPr>
        <w:t xml:space="preserve"> Од укупног буџета издвојено је </w:t>
      </w:r>
      <w:r w:rsidR="000D448D" w:rsidRPr="00CF7521">
        <w:rPr>
          <w:rFonts w:ascii="Tahoma" w:hAnsi="Tahoma" w:cs="Tahoma"/>
          <w:iCs/>
          <w:color w:val="000000" w:themeColor="text1"/>
          <w:sz w:val="22"/>
          <w:szCs w:val="22"/>
          <w:lang w:val="sr-Cyrl-RS"/>
        </w:rPr>
        <w:t>0</w:t>
      </w:r>
      <w:r w:rsidRPr="00CF7521">
        <w:rPr>
          <w:rFonts w:ascii="Tahoma" w:hAnsi="Tahoma" w:cs="Tahoma"/>
          <w:iCs/>
          <w:color w:val="000000" w:themeColor="text1"/>
          <w:sz w:val="22"/>
          <w:szCs w:val="22"/>
          <w:lang w:val="sr-Cyrl-RS"/>
        </w:rPr>
        <w:t>,</w:t>
      </w:r>
      <w:r w:rsidR="000D448D" w:rsidRPr="00CF7521">
        <w:rPr>
          <w:rFonts w:ascii="Tahoma" w:hAnsi="Tahoma" w:cs="Tahoma"/>
          <w:iCs/>
          <w:color w:val="000000" w:themeColor="text1"/>
          <w:sz w:val="22"/>
          <w:szCs w:val="22"/>
          <w:lang w:val="sr-Cyrl-RS"/>
        </w:rPr>
        <w:t>7</w:t>
      </w:r>
      <w:r w:rsidRPr="00CF7521">
        <w:rPr>
          <w:rFonts w:ascii="Tahoma" w:hAnsi="Tahoma" w:cs="Tahoma"/>
          <w:iCs/>
          <w:color w:val="000000" w:themeColor="text1"/>
          <w:sz w:val="22"/>
          <w:szCs w:val="22"/>
          <w:lang w:val="sr-Cyrl-RS"/>
        </w:rPr>
        <w:t>%</w:t>
      </w:r>
      <w:r w:rsidRPr="002F7CB2">
        <w:rPr>
          <w:rFonts w:ascii="Tahoma" w:hAnsi="Tahoma" w:cs="Tahoma"/>
          <w:iCs/>
          <w:color w:val="000000" w:themeColor="text1"/>
          <w:sz w:val="22"/>
          <w:szCs w:val="22"/>
          <w:lang w:val="sr-Cyrl-RS"/>
        </w:rPr>
        <w:t xml:space="preserve"> за ове </w:t>
      </w:r>
      <w:r w:rsidRPr="007B4217">
        <w:rPr>
          <w:rFonts w:ascii="Tahoma" w:hAnsi="Tahoma" w:cs="Tahoma"/>
          <w:iCs/>
          <w:color w:val="000000" w:themeColor="text1"/>
          <w:sz w:val="22"/>
          <w:szCs w:val="22"/>
          <w:lang w:val="sr-Cyrl-RS"/>
        </w:rPr>
        <w:t>намене</w:t>
      </w:r>
      <w:r w:rsidR="00B33EC0">
        <w:rPr>
          <w:rFonts w:ascii="Tahoma" w:hAnsi="Tahoma" w:cs="Tahoma"/>
          <w:iCs/>
          <w:color w:val="000000" w:themeColor="text1"/>
          <w:sz w:val="22"/>
          <w:szCs w:val="22"/>
          <w:lang w:val="sr-Cyrl-RS"/>
        </w:rPr>
        <w:t>.</w:t>
      </w:r>
      <w:r w:rsidRPr="007B4217">
        <w:rPr>
          <w:rFonts w:ascii="Tahoma" w:hAnsi="Tahoma" w:cs="Tahoma"/>
          <w:iCs/>
          <w:color w:val="000000" w:themeColor="text1"/>
          <w:sz w:val="22"/>
          <w:szCs w:val="22"/>
          <w:lang w:val="sr-Cyrl-RS"/>
        </w:rPr>
        <w:t xml:space="preserve"> </w:t>
      </w:r>
      <w:r w:rsidR="00D05A88" w:rsidRPr="00D05A88">
        <w:rPr>
          <w:rFonts w:ascii="Tahoma" w:hAnsi="Tahoma" w:cs="Tahoma"/>
          <w:iCs/>
          <w:sz w:val="22"/>
          <w:szCs w:val="22"/>
          <w:lang w:val="sr-Cyrl-RS"/>
        </w:rPr>
        <w:t>Када</w:t>
      </w:r>
      <w:r w:rsidRPr="00D05A88">
        <w:rPr>
          <w:rFonts w:ascii="Tahoma" w:hAnsi="Tahoma" w:cs="Tahoma"/>
          <w:iCs/>
          <w:sz w:val="22"/>
          <w:szCs w:val="22"/>
          <w:lang w:val="sr-Cyrl-RS"/>
        </w:rPr>
        <w:t xml:space="preserve"> се вредности поређају од најниже ка највишој, </w:t>
      </w:r>
      <w:r w:rsidRPr="00B33EC0">
        <w:rPr>
          <w:rFonts w:ascii="Tahoma" w:hAnsi="Tahoma" w:cs="Tahoma"/>
          <w:iCs/>
          <w:color w:val="000000" w:themeColor="text1"/>
          <w:sz w:val="22"/>
          <w:szCs w:val="22"/>
          <w:lang w:val="sr-Cyrl-RS"/>
        </w:rPr>
        <w:t xml:space="preserve">ранг </w:t>
      </w:r>
      <w:r w:rsidR="00CF7521">
        <w:rPr>
          <w:rFonts w:ascii="Tahoma" w:hAnsi="Tahoma" w:cs="Tahoma"/>
          <w:iCs/>
          <w:color w:val="000000" w:themeColor="text1"/>
          <w:sz w:val="22"/>
          <w:szCs w:val="22"/>
          <w:lang w:val="sr-Cyrl-RS"/>
        </w:rPr>
        <w:t>Смедеревске Паланке</w:t>
      </w:r>
      <w:r w:rsidR="00B76FE3" w:rsidRPr="00B33EC0">
        <w:rPr>
          <w:rFonts w:ascii="Tahoma" w:hAnsi="Tahoma" w:cs="Tahoma"/>
          <w:iCs/>
          <w:color w:val="000000" w:themeColor="text1"/>
          <w:sz w:val="22"/>
          <w:szCs w:val="22"/>
          <w:lang w:val="sr-Cyrl-RS"/>
        </w:rPr>
        <w:t xml:space="preserve"> </w:t>
      </w:r>
      <w:r w:rsidRPr="00B33EC0">
        <w:rPr>
          <w:rFonts w:ascii="Tahoma" w:hAnsi="Tahoma" w:cs="Tahoma"/>
          <w:iCs/>
          <w:color w:val="000000" w:themeColor="text1"/>
          <w:sz w:val="22"/>
          <w:szCs w:val="22"/>
          <w:lang w:val="sr-Cyrl-RS"/>
        </w:rPr>
        <w:t xml:space="preserve">према ова два индикатора је </w:t>
      </w:r>
      <w:r w:rsidR="00CF7521">
        <w:rPr>
          <w:rFonts w:ascii="Tahoma" w:hAnsi="Tahoma" w:cs="Tahoma"/>
          <w:iCs/>
          <w:color w:val="000000" w:themeColor="text1"/>
          <w:sz w:val="22"/>
          <w:szCs w:val="22"/>
          <w:lang w:val="sr-Latn-RS"/>
        </w:rPr>
        <w:t>8</w:t>
      </w:r>
      <w:r w:rsidRPr="00B33EC0">
        <w:rPr>
          <w:rFonts w:ascii="Tahoma" w:hAnsi="Tahoma" w:cs="Tahoma"/>
          <w:iCs/>
          <w:color w:val="000000" w:themeColor="text1"/>
          <w:sz w:val="22"/>
          <w:szCs w:val="22"/>
          <w:lang w:val="sr-Cyrl-RS"/>
        </w:rPr>
        <w:t xml:space="preserve"> (расходи по становнику), односно </w:t>
      </w:r>
      <w:r w:rsidR="00CF7521">
        <w:rPr>
          <w:rFonts w:ascii="Tahoma" w:hAnsi="Tahoma" w:cs="Tahoma"/>
          <w:iCs/>
          <w:color w:val="000000" w:themeColor="text1"/>
          <w:sz w:val="22"/>
          <w:szCs w:val="22"/>
          <w:lang w:val="sr-Latn-RS"/>
        </w:rPr>
        <w:t>11</w:t>
      </w:r>
      <w:r w:rsidRPr="00B33EC0">
        <w:rPr>
          <w:rFonts w:ascii="Tahoma" w:hAnsi="Tahoma" w:cs="Tahoma"/>
          <w:iCs/>
          <w:color w:val="000000" w:themeColor="text1"/>
          <w:sz w:val="22"/>
          <w:szCs w:val="22"/>
          <w:lang w:val="sr-Cyrl-RS"/>
        </w:rPr>
        <w:t xml:space="preserve"> (</w:t>
      </w:r>
      <w:r w:rsidRPr="00D05A88">
        <w:rPr>
          <w:rFonts w:ascii="Tahoma" w:hAnsi="Tahoma" w:cs="Tahoma"/>
          <w:iCs/>
          <w:sz w:val="22"/>
          <w:szCs w:val="22"/>
          <w:lang w:val="sr-Cyrl-RS"/>
        </w:rPr>
        <w:t xml:space="preserve">удео расхода) у односу на </w:t>
      </w:r>
      <w:r w:rsidR="00B76FE3">
        <w:rPr>
          <w:rFonts w:ascii="Tahoma" w:hAnsi="Tahoma" w:cs="Tahoma"/>
          <w:iCs/>
          <w:sz w:val="22"/>
          <w:szCs w:val="22"/>
          <w:lang w:val="sr-Cyrl-RS"/>
        </w:rPr>
        <w:t xml:space="preserve">99 </w:t>
      </w:r>
      <w:r w:rsidRPr="00D05A88">
        <w:rPr>
          <w:rFonts w:ascii="Tahoma" w:hAnsi="Tahoma" w:cs="Tahoma"/>
          <w:iCs/>
          <w:sz w:val="22"/>
          <w:szCs w:val="22"/>
          <w:lang w:val="sr-Cyrl-RS"/>
        </w:rPr>
        <w:t xml:space="preserve">ЈЛС </w:t>
      </w:r>
      <w:r w:rsidR="00B76FE3">
        <w:rPr>
          <w:rFonts w:ascii="Tahoma" w:hAnsi="Tahoma" w:cs="Tahoma"/>
          <w:iCs/>
          <w:sz w:val="22"/>
          <w:szCs w:val="22"/>
          <w:lang w:val="sr-Cyrl-RS"/>
        </w:rPr>
        <w:t>на подручју</w:t>
      </w:r>
      <w:r w:rsidRPr="00D05A88">
        <w:rPr>
          <w:rFonts w:ascii="Tahoma" w:hAnsi="Tahoma" w:cs="Tahoma"/>
          <w:iCs/>
          <w:sz w:val="22"/>
          <w:szCs w:val="22"/>
          <w:lang w:val="sr-Cyrl-RS"/>
        </w:rPr>
        <w:t xml:space="preserve"> Србиј</w:t>
      </w:r>
      <w:r w:rsidR="00B76FE3">
        <w:rPr>
          <w:rFonts w:ascii="Tahoma" w:hAnsi="Tahoma" w:cs="Tahoma"/>
          <w:iCs/>
          <w:sz w:val="22"/>
          <w:szCs w:val="22"/>
          <w:lang w:val="sr-Cyrl-RS"/>
        </w:rPr>
        <w:t>а-југ</w:t>
      </w:r>
      <w:r w:rsidRPr="00D05A88">
        <w:rPr>
          <w:rFonts w:ascii="Tahoma" w:hAnsi="Tahoma" w:cs="Tahoma"/>
          <w:iCs/>
          <w:sz w:val="22"/>
          <w:szCs w:val="22"/>
          <w:lang w:val="sr-Cyrl-RS"/>
        </w:rPr>
        <w:t xml:space="preserve">. </w:t>
      </w:r>
      <w:r w:rsidR="00D154A1" w:rsidRPr="00D05A88">
        <w:rPr>
          <w:rFonts w:ascii="Tahoma" w:hAnsi="Tahoma" w:cs="Tahoma"/>
          <w:iCs/>
          <w:sz w:val="22"/>
          <w:szCs w:val="22"/>
          <w:lang w:val="sr-Cyrl-RS"/>
        </w:rPr>
        <w:t xml:space="preserve">Вредност </w:t>
      </w:r>
      <w:r w:rsidR="00CF7521">
        <w:rPr>
          <w:rFonts w:ascii="Tahoma" w:hAnsi="Tahoma" w:cs="Tahoma"/>
          <w:iCs/>
          <w:sz w:val="22"/>
          <w:szCs w:val="22"/>
          <w:lang w:val="sr-Cyrl-RS"/>
        </w:rPr>
        <w:t>оба</w:t>
      </w:r>
      <w:r w:rsidR="00C41C66">
        <w:rPr>
          <w:rFonts w:ascii="Tahoma" w:hAnsi="Tahoma" w:cs="Tahoma"/>
          <w:iCs/>
          <w:sz w:val="22"/>
          <w:szCs w:val="22"/>
          <w:lang w:val="sr-Cyrl-RS"/>
        </w:rPr>
        <w:t xml:space="preserve"> </w:t>
      </w:r>
      <w:r w:rsidR="00CF7521">
        <w:rPr>
          <w:rFonts w:ascii="Tahoma" w:hAnsi="Tahoma" w:cs="Tahoma"/>
          <w:iCs/>
          <w:sz w:val="22"/>
          <w:szCs w:val="22"/>
          <w:lang w:val="sr-Cyrl-RS"/>
        </w:rPr>
        <w:t xml:space="preserve">индикатора је далеко испод </w:t>
      </w:r>
      <w:r w:rsidR="00D154A1" w:rsidRPr="00D05A88">
        <w:rPr>
          <w:rFonts w:ascii="Tahoma" w:hAnsi="Tahoma" w:cs="Tahoma"/>
          <w:iCs/>
          <w:sz w:val="22"/>
          <w:szCs w:val="22"/>
          <w:lang w:val="sr-Cyrl-RS"/>
        </w:rPr>
        <w:t xml:space="preserve">просека </w:t>
      </w:r>
      <w:r w:rsidR="00D154A1">
        <w:rPr>
          <w:rFonts w:ascii="Tahoma" w:hAnsi="Tahoma" w:cs="Tahoma"/>
          <w:iCs/>
          <w:sz w:val="22"/>
          <w:szCs w:val="22"/>
          <w:lang w:val="sr-Cyrl-RS"/>
        </w:rPr>
        <w:t>Србија</w:t>
      </w:r>
      <w:r w:rsidR="00B96B8D">
        <w:rPr>
          <w:rFonts w:ascii="Tahoma" w:hAnsi="Tahoma" w:cs="Tahoma"/>
          <w:iCs/>
          <w:sz w:val="22"/>
          <w:szCs w:val="22"/>
          <w:lang w:val="sr-Cyrl-RS"/>
        </w:rPr>
        <w:t>-југ</w:t>
      </w:r>
      <w:r w:rsidR="00D154A1" w:rsidRPr="00D05A88">
        <w:rPr>
          <w:rFonts w:ascii="Tahoma" w:hAnsi="Tahoma" w:cs="Tahoma"/>
          <w:iCs/>
          <w:sz w:val="22"/>
          <w:szCs w:val="22"/>
          <w:lang w:val="sr-Cyrl-RS"/>
        </w:rPr>
        <w:t xml:space="preserve"> (9</w:t>
      </w:r>
      <w:r w:rsidR="00D154A1">
        <w:rPr>
          <w:rFonts w:ascii="Tahoma" w:hAnsi="Tahoma" w:cs="Tahoma"/>
          <w:iCs/>
          <w:sz w:val="22"/>
          <w:szCs w:val="22"/>
          <w:lang w:val="sr-Cyrl-RS"/>
        </w:rPr>
        <w:t>0</w:t>
      </w:r>
      <w:r w:rsidR="00B96B8D">
        <w:rPr>
          <w:rFonts w:ascii="Tahoma" w:hAnsi="Tahoma" w:cs="Tahoma"/>
          <w:iCs/>
          <w:sz w:val="22"/>
          <w:szCs w:val="22"/>
          <w:lang w:val="sr-Cyrl-RS"/>
        </w:rPr>
        <w:t>2</w:t>
      </w:r>
      <w:r w:rsidR="00D154A1" w:rsidRPr="00D05A88">
        <w:rPr>
          <w:rFonts w:ascii="Tahoma" w:hAnsi="Tahoma" w:cs="Tahoma"/>
          <w:iCs/>
          <w:sz w:val="22"/>
          <w:szCs w:val="22"/>
          <w:lang w:val="sr-Cyrl-RS"/>
        </w:rPr>
        <w:t xml:space="preserve"> РСД и 2,3%, респективно).</w:t>
      </w:r>
      <w:r w:rsidRPr="00D05A88">
        <w:rPr>
          <w:rFonts w:ascii="Tahoma" w:hAnsi="Tahoma" w:cs="Tahoma"/>
          <w:iCs/>
          <w:sz w:val="22"/>
          <w:szCs w:val="22"/>
          <w:lang w:val="sr-Cyrl-RS"/>
        </w:rPr>
        <w:t xml:space="preserve"> </w:t>
      </w:r>
      <w:r w:rsidR="002F6B08">
        <w:rPr>
          <w:rFonts w:ascii="Tahoma" w:hAnsi="Tahoma" w:cs="Tahoma"/>
          <w:iCs/>
          <w:sz w:val="22"/>
          <w:szCs w:val="22"/>
          <w:lang w:val="sr-Cyrl-RS"/>
        </w:rPr>
        <w:t>Претежни</w:t>
      </w:r>
      <w:r w:rsidRPr="00D05A88">
        <w:rPr>
          <w:rFonts w:ascii="Tahoma" w:hAnsi="Tahoma" w:cs="Tahoma"/>
          <w:iCs/>
          <w:sz w:val="22"/>
          <w:szCs w:val="22"/>
          <w:lang w:val="sr-Cyrl-RS"/>
        </w:rPr>
        <w:t xml:space="preserve"> део укупне материјалне подршке је у </w:t>
      </w:r>
      <w:r w:rsidR="00070A38">
        <w:rPr>
          <w:rFonts w:ascii="Tahoma" w:hAnsi="Tahoma" w:cs="Tahoma"/>
          <w:iCs/>
          <w:sz w:val="22"/>
          <w:szCs w:val="22"/>
          <w:lang w:val="sr-Cyrl-RS"/>
        </w:rPr>
        <w:t>виду новчаних давања</w:t>
      </w:r>
      <w:r w:rsidRPr="00D05A88">
        <w:rPr>
          <w:rFonts w:ascii="Tahoma" w:hAnsi="Tahoma" w:cs="Tahoma"/>
          <w:iCs/>
          <w:sz w:val="22"/>
          <w:szCs w:val="22"/>
          <w:lang w:val="sr-Cyrl-RS"/>
        </w:rPr>
        <w:t xml:space="preserve"> </w:t>
      </w:r>
      <w:r w:rsidRPr="00214FB6">
        <w:rPr>
          <w:rFonts w:ascii="Tahoma" w:hAnsi="Tahoma" w:cs="Tahoma"/>
          <w:iCs/>
          <w:color w:val="000000" w:themeColor="text1"/>
          <w:sz w:val="22"/>
          <w:szCs w:val="22"/>
          <w:lang w:val="sr-Cyrl-RS"/>
        </w:rPr>
        <w:t>(</w:t>
      </w:r>
      <w:r w:rsidR="00A14885">
        <w:rPr>
          <w:rFonts w:ascii="Tahoma" w:hAnsi="Tahoma" w:cs="Tahoma"/>
          <w:iCs/>
          <w:color w:val="000000" w:themeColor="text1"/>
          <w:sz w:val="22"/>
          <w:szCs w:val="22"/>
          <w:lang w:val="sr-Cyrl-RS"/>
        </w:rPr>
        <w:t>62</w:t>
      </w:r>
      <w:r w:rsidR="00E23619">
        <w:rPr>
          <w:rFonts w:ascii="Tahoma" w:hAnsi="Tahoma" w:cs="Tahoma"/>
          <w:iCs/>
          <w:color w:val="000000" w:themeColor="text1"/>
          <w:sz w:val="22"/>
          <w:szCs w:val="22"/>
          <w:lang w:val="sr-Cyrl-RS"/>
        </w:rPr>
        <w:t>,</w:t>
      </w:r>
      <w:r w:rsidR="00A14885">
        <w:rPr>
          <w:rFonts w:ascii="Tahoma" w:hAnsi="Tahoma" w:cs="Tahoma"/>
          <w:iCs/>
          <w:color w:val="000000" w:themeColor="text1"/>
          <w:sz w:val="22"/>
          <w:szCs w:val="22"/>
          <w:lang w:val="sr-Cyrl-RS"/>
        </w:rPr>
        <w:t>8</w:t>
      </w:r>
      <w:r w:rsidRPr="002F6B08">
        <w:rPr>
          <w:rFonts w:ascii="Tahoma" w:hAnsi="Tahoma" w:cs="Tahoma"/>
          <w:iCs/>
          <w:color w:val="000000" w:themeColor="text1"/>
          <w:sz w:val="22"/>
          <w:szCs w:val="22"/>
          <w:lang w:val="sr-Cyrl-RS"/>
        </w:rPr>
        <w:t>%)</w:t>
      </w:r>
      <w:r w:rsidRPr="00D05A88">
        <w:rPr>
          <w:rFonts w:ascii="Tahoma" w:hAnsi="Tahoma" w:cs="Tahoma"/>
          <w:iCs/>
          <w:sz w:val="22"/>
          <w:szCs w:val="22"/>
          <w:lang w:val="sr-Cyrl-RS"/>
        </w:rPr>
        <w:t xml:space="preserve"> (</w:t>
      </w:r>
      <w:r w:rsidR="008C43DB">
        <w:rPr>
          <w:rFonts w:ascii="Tahoma" w:hAnsi="Tahoma" w:cs="Tahoma"/>
          <w:iCs/>
          <w:sz w:val="22"/>
          <w:szCs w:val="22"/>
          <w:lang w:val="sr-Cyrl-RS"/>
        </w:rPr>
        <w:t>Т</w:t>
      </w:r>
      <w:r w:rsidRPr="00D05A88">
        <w:rPr>
          <w:rFonts w:ascii="Tahoma" w:hAnsi="Tahoma" w:cs="Tahoma"/>
          <w:iCs/>
          <w:sz w:val="22"/>
          <w:szCs w:val="22"/>
          <w:lang w:val="sr-Cyrl-RS"/>
        </w:rPr>
        <w:t>абела 7).</w:t>
      </w:r>
    </w:p>
    <w:p w14:paraId="2CF78A62" w14:textId="7E3FEC6E" w:rsidR="004B42BF" w:rsidRDefault="00A14885" w:rsidP="007327A7">
      <w:pPr>
        <w:spacing w:after="160" w:line="259" w:lineRule="auto"/>
        <w:jc w:val="both"/>
        <w:rPr>
          <w:rFonts w:ascii="Tahoma" w:hAnsi="Tahoma" w:cs="Tahoma"/>
          <w:bCs/>
          <w:color w:val="000000" w:themeColor="text1"/>
          <w:sz w:val="22"/>
          <w:szCs w:val="22"/>
          <w:lang w:val="sr-Cyrl-RS"/>
        </w:rPr>
      </w:pPr>
      <w:r>
        <w:rPr>
          <w:rFonts w:ascii="Tahoma" w:hAnsi="Tahoma" w:cs="Tahoma"/>
          <w:b/>
          <w:bCs/>
          <w:color w:val="2F5496"/>
          <w:sz w:val="22"/>
          <w:szCs w:val="22"/>
          <w:lang w:val="sr-Cyrl-RS"/>
        </w:rPr>
        <w:t>Преко</w:t>
      </w:r>
      <w:r w:rsidR="002F7CB2">
        <w:rPr>
          <w:rFonts w:ascii="Tahoma" w:hAnsi="Tahoma" w:cs="Tahoma"/>
          <w:b/>
          <w:bCs/>
          <w:color w:val="2F5496"/>
          <w:sz w:val="22"/>
          <w:szCs w:val="22"/>
          <w:lang w:val="sr-Cyrl-RS"/>
        </w:rPr>
        <w:t xml:space="preserve"> половин</w:t>
      </w:r>
      <w:r>
        <w:rPr>
          <w:rFonts w:ascii="Tahoma" w:hAnsi="Tahoma" w:cs="Tahoma"/>
          <w:b/>
          <w:bCs/>
          <w:color w:val="2F5496"/>
          <w:sz w:val="22"/>
          <w:szCs w:val="22"/>
          <w:lang w:val="sr-Cyrl-RS"/>
        </w:rPr>
        <w:t>е</w:t>
      </w:r>
      <w:r w:rsidR="00A3185C" w:rsidRPr="00F473D7">
        <w:rPr>
          <w:rFonts w:ascii="Tahoma" w:hAnsi="Tahoma" w:cs="Tahoma"/>
          <w:b/>
          <w:bCs/>
          <w:color w:val="2F5496"/>
          <w:sz w:val="22"/>
          <w:szCs w:val="22"/>
          <w:lang w:val="sr-Cyrl-RS"/>
        </w:rPr>
        <w:t xml:space="preserve"> материјалне подршке (</w:t>
      </w:r>
      <w:r>
        <w:rPr>
          <w:rFonts w:ascii="Tahoma" w:hAnsi="Tahoma" w:cs="Tahoma"/>
          <w:b/>
          <w:bCs/>
          <w:color w:val="2F5496"/>
          <w:sz w:val="22"/>
          <w:szCs w:val="22"/>
          <w:lang w:val="sr-Cyrl-RS"/>
        </w:rPr>
        <w:t>4</w:t>
      </w:r>
      <w:r w:rsidR="00E23619">
        <w:rPr>
          <w:rFonts w:ascii="Tahoma" w:hAnsi="Tahoma" w:cs="Tahoma"/>
          <w:b/>
          <w:bCs/>
          <w:color w:val="2F5496"/>
          <w:sz w:val="22"/>
          <w:szCs w:val="22"/>
          <w:lang w:val="sr-Cyrl-RS"/>
        </w:rPr>
        <w:t>,</w:t>
      </w:r>
      <w:r>
        <w:rPr>
          <w:rFonts w:ascii="Tahoma" w:hAnsi="Tahoma" w:cs="Tahoma"/>
          <w:b/>
          <w:bCs/>
          <w:color w:val="2F5496"/>
          <w:sz w:val="22"/>
          <w:szCs w:val="22"/>
          <w:lang w:val="sr-Cyrl-RS"/>
        </w:rPr>
        <w:t>9</w:t>
      </w:r>
      <w:r w:rsidR="00A3185C" w:rsidRPr="00F473D7">
        <w:rPr>
          <w:rFonts w:ascii="Tahoma" w:hAnsi="Tahoma" w:cs="Tahoma"/>
          <w:b/>
          <w:bCs/>
          <w:color w:val="2F5496"/>
          <w:sz w:val="22"/>
          <w:szCs w:val="22"/>
          <w:lang w:val="sr-Cyrl-RS"/>
        </w:rPr>
        <w:t xml:space="preserve"> милиона РСД</w:t>
      </w:r>
      <w:r w:rsidR="00835DBA">
        <w:rPr>
          <w:rFonts w:ascii="Tahoma" w:hAnsi="Tahoma" w:cs="Tahoma"/>
          <w:b/>
          <w:bCs/>
          <w:color w:val="2F5496"/>
          <w:sz w:val="22"/>
          <w:szCs w:val="22"/>
          <w:lang w:val="sr-Cyrl-RS"/>
        </w:rPr>
        <w:t xml:space="preserve">, односно </w:t>
      </w:r>
      <w:r>
        <w:rPr>
          <w:rFonts w:ascii="Tahoma" w:hAnsi="Tahoma" w:cs="Tahoma"/>
          <w:b/>
          <w:bCs/>
          <w:color w:val="2F5496"/>
          <w:sz w:val="22"/>
          <w:szCs w:val="22"/>
          <w:lang w:val="sr-Cyrl-RS"/>
        </w:rPr>
        <w:t>57,5</w:t>
      </w:r>
      <w:r w:rsidR="00835DBA">
        <w:rPr>
          <w:rFonts w:ascii="Tahoma" w:hAnsi="Tahoma" w:cs="Tahoma"/>
          <w:b/>
          <w:bCs/>
          <w:color w:val="2F5496"/>
          <w:sz w:val="22"/>
          <w:szCs w:val="22"/>
          <w:lang w:val="sr-Cyrl-RS"/>
        </w:rPr>
        <w:t>%</w:t>
      </w:r>
      <w:r w:rsidR="00A3185C" w:rsidRPr="00F473D7">
        <w:rPr>
          <w:rFonts w:ascii="Tahoma" w:hAnsi="Tahoma" w:cs="Tahoma"/>
          <w:b/>
          <w:bCs/>
          <w:color w:val="2F5496"/>
          <w:sz w:val="22"/>
          <w:szCs w:val="22"/>
          <w:lang w:val="sr-Cyrl-RS"/>
        </w:rPr>
        <w:t xml:space="preserve">) у </w:t>
      </w:r>
      <w:r>
        <w:rPr>
          <w:rFonts w:ascii="Tahoma" w:hAnsi="Tahoma" w:cs="Tahoma"/>
          <w:b/>
          <w:bCs/>
          <w:color w:val="2F5496"/>
          <w:sz w:val="22"/>
          <w:szCs w:val="22"/>
          <w:lang w:val="sr-Cyrl-RS"/>
        </w:rPr>
        <w:t>Смедеревској Паланци</w:t>
      </w:r>
      <w:r w:rsidR="00A3185C" w:rsidRPr="00F473D7">
        <w:rPr>
          <w:rFonts w:ascii="Tahoma" w:hAnsi="Tahoma" w:cs="Tahoma"/>
          <w:b/>
          <w:bCs/>
          <w:color w:val="2F5496"/>
          <w:sz w:val="22"/>
          <w:szCs w:val="22"/>
          <w:lang w:val="sr-Cyrl-RS"/>
        </w:rPr>
        <w:t xml:space="preserve"> додељивана је уз проверу материјалног стања 2018. године.</w:t>
      </w:r>
      <w:r w:rsidR="00A3185C" w:rsidRPr="00D05A88">
        <w:rPr>
          <w:rFonts w:ascii="Tahoma" w:hAnsi="Tahoma" w:cs="Tahoma"/>
          <w:bCs/>
          <w:sz w:val="22"/>
          <w:szCs w:val="22"/>
          <w:lang w:val="sr-Cyrl-RS"/>
        </w:rPr>
        <w:t xml:space="preserve"> Управо ова давања су посебно релевантна за смањење сиромаштва на локалном нивоу. </w:t>
      </w:r>
      <w:r w:rsidR="009D0904">
        <w:rPr>
          <w:rFonts w:ascii="Tahoma" w:hAnsi="Tahoma" w:cs="Tahoma"/>
          <w:bCs/>
          <w:sz w:val="22"/>
          <w:szCs w:val="22"/>
          <w:lang w:val="sr-Cyrl-RS"/>
        </w:rPr>
        <w:t xml:space="preserve">Овај удео је на нивоу </w:t>
      </w:r>
      <w:r w:rsidR="009D0904" w:rsidRPr="00B14816">
        <w:rPr>
          <w:rFonts w:ascii="Tahoma" w:hAnsi="Tahoma" w:cs="Tahoma"/>
          <w:bCs/>
          <w:color w:val="000000" w:themeColor="text1"/>
          <w:sz w:val="22"/>
          <w:szCs w:val="22"/>
          <w:lang w:val="sr-Cyrl-RS"/>
        </w:rPr>
        <w:t>просека Србија-југ, који је износио 5</w:t>
      </w:r>
      <w:r w:rsidR="009D0904">
        <w:rPr>
          <w:rFonts w:ascii="Tahoma" w:hAnsi="Tahoma" w:cs="Tahoma"/>
          <w:bCs/>
          <w:color w:val="000000" w:themeColor="text1"/>
          <w:sz w:val="22"/>
          <w:szCs w:val="22"/>
          <w:lang w:val="sr-Cyrl-RS"/>
        </w:rPr>
        <w:t>7</w:t>
      </w:r>
      <w:r w:rsidR="009D0904" w:rsidRPr="00B14816">
        <w:rPr>
          <w:rFonts w:ascii="Tahoma" w:hAnsi="Tahoma" w:cs="Tahoma"/>
          <w:bCs/>
          <w:color w:val="000000" w:themeColor="text1"/>
          <w:sz w:val="22"/>
          <w:szCs w:val="22"/>
          <w:lang w:val="sr-Cyrl-RS"/>
        </w:rPr>
        <w:t>,</w:t>
      </w:r>
      <w:r w:rsidR="009D0904">
        <w:rPr>
          <w:rFonts w:ascii="Tahoma" w:hAnsi="Tahoma" w:cs="Tahoma"/>
          <w:bCs/>
          <w:color w:val="000000" w:themeColor="text1"/>
          <w:sz w:val="22"/>
          <w:szCs w:val="22"/>
          <w:lang w:val="sr-Cyrl-RS"/>
        </w:rPr>
        <w:t>5</w:t>
      </w:r>
      <w:r w:rsidR="009D0904" w:rsidRPr="00B14816">
        <w:rPr>
          <w:rFonts w:ascii="Tahoma" w:hAnsi="Tahoma" w:cs="Tahoma"/>
          <w:bCs/>
          <w:color w:val="000000" w:themeColor="text1"/>
          <w:sz w:val="22"/>
          <w:szCs w:val="22"/>
          <w:lang w:val="sr-Cyrl-RS"/>
        </w:rPr>
        <w:t>%.</w:t>
      </w:r>
      <w:r w:rsidR="00A3185C" w:rsidRPr="00B14816">
        <w:rPr>
          <w:rFonts w:ascii="Tahoma" w:hAnsi="Tahoma" w:cs="Tahoma"/>
          <w:bCs/>
          <w:color w:val="000000" w:themeColor="text1"/>
          <w:sz w:val="22"/>
          <w:szCs w:val="22"/>
          <w:lang w:val="sr-Cyrl-RS"/>
        </w:rPr>
        <w:t xml:space="preserve"> </w:t>
      </w:r>
    </w:p>
    <w:p w14:paraId="0750727F" w14:textId="5E014A99" w:rsidR="005E42E9" w:rsidRDefault="004B42BF" w:rsidP="007327A7">
      <w:pPr>
        <w:spacing w:after="160" w:line="259" w:lineRule="auto"/>
        <w:jc w:val="both"/>
        <w:rPr>
          <w:rFonts w:ascii="Tahoma" w:hAnsi="Tahoma" w:cs="Tahoma"/>
          <w:bCs/>
          <w:color w:val="000000" w:themeColor="text1"/>
          <w:sz w:val="22"/>
          <w:szCs w:val="22"/>
          <w:lang w:val="sr-Cyrl-RS"/>
        </w:rPr>
      </w:pPr>
      <w:r>
        <w:rPr>
          <w:rFonts w:ascii="Tahoma" w:hAnsi="Tahoma" w:cs="Tahoma"/>
          <w:bCs/>
          <w:color w:val="000000" w:themeColor="text1"/>
          <w:sz w:val="22"/>
          <w:szCs w:val="22"/>
          <w:lang w:val="sr-Cyrl-RS"/>
        </w:rPr>
        <w:t xml:space="preserve">Од новчаних давања, поред једнократне помоћи усмерене на сиромашне, </w:t>
      </w:r>
      <w:r w:rsidR="00A14885">
        <w:rPr>
          <w:rFonts w:ascii="Tahoma" w:hAnsi="Tahoma" w:cs="Tahoma"/>
          <w:bCs/>
          <w:color w:val="000000" w:themeColor="text1"/>
          <w:sz w:val="22"/>
          <w:szCs w:val="22"/>
          <w:lang w:val="sr-Cyrl-RS"/>
        </w:rPr>
        <w:t xml:space="preserve">значајан део </w:t>
      </w:r>
      <w:r>
        <w:rPr>
          <w:rFonts w:ascii="Tahoma" w:hAnsi="Tahoma" w:cs="Tahoma"/>
          <w:bCs/>
          <w:color w:val="000000" w:themeColor="text1"/>
          <w:sz w:val="22"/>
          <w:szCs w:val="22"/>
          <w:lang w:val="sr-Cyrl-RS"/>
        </w:rPr>
        <w:t xml:space="preserve">се односи на новчану помоћ за </w:t>
      </w:r>
      <w:r w:rsidR="00A14885">
        <w:rPr>
          <w:rFonts w:ascii="Tahoma" w:hAnsi="Tahoma" w:cs="Tahoma"/>
          <w:bCs/>
          <w:color w:val="000000" w:themeColor="text1"/>
          <w:sz w:val="22"/>
          <w:szCs w:val="22"/>
          <w:lang w:val="sr-Cyrl-RS"/>
        </w:rPr>
        <w:t>прворођено дете</w:t>
      </w:r>
      <w:r>
        <w:rPr>
          <w:rFonts w:ascii="Tahoma" w:hAnsi="Tahoma" w:cs="Tahoma"/>
          <w:bCs/>
          <w:color w:val="000000" w:themeColor="text1"/>
          <w:sz w:val="22"/>
          <w:szCs w:val="22"/>
          <w:lang w:val="sr-Cyrl-RS"/>
        </w:rPr>
        <w:t xml:space="preserve"> (</w:t>
      </w:r>
      <w:r w:rsidR="00C034CA">
        <w:rPr>
          <w:rFonts w:ascii="Tahoma" w:hAnsi="Tahoma" w:cs="Tahoma"/>
          <w:bCs/>
          <w:color w:val="000000" w:themeColor="text1"/>
          <w:sz w:val="22"/>
          <w:szCs w:val="22"/>
          <w:lang w:val="sr-Cyrl-RS"/>
        </w:rPr>
        <w:t>две трећине</w:t>
      </w:r>
      <w:r w:rsidR="00ED2958">
        <w:rPr>
          <w:rFonts w:ascii="Tahoma" w:hAnsi="Tahoma" w:cs="Tahoma"/>
          <w:bCs/>
          <w:color w:val="000000" w:themeColor="text1"/>
          <w:sz w:val="22"/>
          <w:szCs w:val="22"/>
          <w:lang w:val="sr-Cyrl-RS"/>
        </w:rPr>
        <w:t>).</w:t>
      </w:r>
    </w:p>
    <w:p w14:paraId="6FF1470D" w14:textId="77777777" w:rsidR="00670738" w:rsidRDefault="00670738" w:rsidP="007327A7">
      <w:pPr>
        <w:spacing w:after="160" w:line="259" w:lineRule="auto"/>
        <w:jc w:val="both"/>
        <w:rPr>
          <w:rFonts w:ascii="Tahoma" w:hAnsi="Tahoma" w:cs="Tahoma"/>
          <w:color w:val="2F5496"/>
          <w:sz w:val="22"/>
          <w:szCs w:val="22"/>
          <w:lang w:val="sr-Cyrl-RS"/>
        </w:rPr>
      </w:pPr>
    </w:p>
    <w:p w14:paraId="247D54D5" w14:textId="77777777" w:rsidR="00670738" w:rsidRDefault="00670738" w:rsidP="007327A7">
      <w:pPr>
        <w:spacing w:after="160" w:line="259" w:lineRule="auto"/>
        <w:jc w:val="both"/>
        <w:rPr>
          <w:rFonts w:ascii="Tahoma" w:hAnsi="Tahoma" w:cs="Tahoma"/>
          <w:color w:val="2F5496"/>
          <w:sz w:val="22"/>
          <w:szCs w:val="22"/>
          <w:lang w:val="sr-Cyrl-RS"/>
        </w:rPr>
      </w:pPr>
    </w:p>
    <w:p w14:paraId="75BD40A5" w14:textId="77777777" w:rsidR="00670738" w:rsidRDefault="00670738" w:rsidP="007327A7">
      <w:pPr>
        <w:spacing w:after="160" w:line="259" w:lineRule="auto"/>
        <w:jc w:val="both"/>
        <w:rPr>
          <w:rFonts w:ascii="Tahoma" w:hAnsi="Tahoma" w:cs="Tahoma"/>
          <w:color w:val="2F5496"/>
          <w:sz w:val="22"/>
          <w:szCs w:val="22"/>
          <w:lang w:val="sr-Cyrl-RS"/>
        </w:rPr>
      </w:pPr>
    </w:p>
    <w:p w14:paraId="7CAA1EA2" w14:textId="77777777" w:rsidR="00670738" w:rsidRDefault="00670738" w:rsidP="007327A7">
      <w:pPr>
        <w:spacing w:after="160" w:line="259" w:lineRule="auto"/>
        <w:jc w:val="both"/>
        <w:rPr>
          <w:rFonts w:ascii="Tahoma" w:hAnsi="Tahoma" w:cs="Tahoma"/>
          <w:color w:val="2F5496"/>
          <w:sz w:val="22"/>
          <w:szCs w:val="22"/>
          <w:lang w:val="sr-Cyrl-RS"/>
        </w:rPr>
      </w:pPr>
    </w:p>
    <w:p w14:paraId="37C68C27" w14:textId="786603BB" w:rsidR="00A3185C" w:rsidRPr="008A73B9" w:rsidRDefault="00A3185C" w:rsidP="007327A7">
      <w:pPr>
        <w:spacing w:after="160" w:line="259" w:lineRule="auto"/>
        <w:jc w:val="both"/>
        <w:rPr>
          <w:rFonts w:ascii="Tahoma" w:hAnsi="Tahoma" w:cs="Tahoma"/>
          <w:sz w:val="22"/>
          <w:szCs w:val="22"/>
          <w:lang w:val="sr-Cyrl-RS"/>
        </w:rPr>
      </w:pPr>
      <w:r w:rsidRPr="008A73B9">
        <w:rPr>
          <w:rFonts w:ascii="Tahoma" w:hAnsi="Tahoma" w:cs="Tahoma"/>
          <w:color w:val="2F5496"/>
          <w:sz w:val="22"/>
          <w:szCs w:val="22"/>
          <w:lang w:val="sr-Cyrl-RS"/>
        </w:rPr>
        <w:t xml:space="preserve">Табела 7. Расходи за материјалну подршку у надлежности ЈЛС, </w:t>
      </w:r>
      <w:r w:rsidR="00B32DB1" w:rsidRPr="008A73B9">
        <w:rPr>
          <w:rFonts w:ascii="Tahoma" w:hAnsi="Tahoma" w:cs="Tahoma"/>
          <w:color w:val="2F5496"/>
          <w:sz w:val="22"/>
          <w:szCs w:val="22"/>
          <w:lang w:val="sr-Cyrl-RS"/>
        </w:rPr>
        <w:t>општина</w:t>
      </w:r>
      <w:r w:rsidRPr="008A73B9">
        <w:rPr>
          <w:rFonts w:ascii="Tahoma" w:hAnsi="Tahoma" w:cs="Tahoma"/>
          <w:color w:val="2F5496"/>
          <w:sz w:val="22"/>
          <w:szCs w:val="22"/>
          <w:lang w:val="sr-Cyrl-RS"/>
        </w:rPr>
        <w:t xml:space="preserve"> </w:t>
      </w:r>
      <w:r w:rsidR="009C1CD7" w:rsidRPr="008A73B9">
        <w:rPr>
          <w:rFonts w:ascii="Tahoma" w:hAnsi="Tahoma" w:cs="Tahoma"/>
          <w:color w:val="2F5496"/>
          <w:sz w:val="22"/>
          <w:szCs w:val="22"/>
          <w:lang w:val="sr-Cyrl-RS"/>
        </w:rPr>
        <w:t>Смедеревска Паланка</w:t>
      </w:r>
      <w:r w:rsidRPr="008A73B9">
        <w:rPr>
          <w:rFonts w:ascii="Tahoma" w:hAnsi="Tahoma" w:cs="Tahoma"/>
          <w:color w:val="2F5496"/>
          <w:sz w:val="22"/>
          <w:szCs w:val="22"/>
          <w:lang w:val="sr-Cyrl-RS"/>
        </w:rPr>
        <w:t>, 2018</w:t>
      </w:r>
      <w:r w:rsidRPr="008A73B9">
        <w:rPr>
          <w:rFonts w:ascii="Tahoma" w:hAnsi="Tahoma" w:cs="Tahoma"/>
          <w:sz w:val="22"/>
          <w:szCs w:val="22"/>
          <w:lang w:val="sr-Cyrl-RS"/>
        </w:rPr>
        <w:t>.</w:t>
      </w:r>
    </w:p>
    <w:tbl>
      <w:tblPr>
        <w:tblW w:w="5000" w:type="pct"/>
        <w:tblBorders>
          <w:top w:val="single" w:sz="4" w:space="0" w:color="auto"/>
          <w:bottom w:val="single" w:sz="4" w:space="0" w:color="auto"/>
        </w:tblBorders>
        <w:tblLook w:val="04A0" w:firstRow="1" w:lastRow="0" w:firstColumn="1" w:lastColumn="0" w:noHBand="0" w:noVBand="1"/>
      </w:tblPr>
      <w:tblGrid>
        <w:gridCol w:w="5955"/>
        <w:gridCol w:w="3405"/>
      </w:tblGrid>
      <w:tr w:rsidR="001B6251" w:rsidRPr="00045210" w14:paraId="2D033B24" w14:textId="77777777" w:rsidTr="00B32DB1">
        <w:trPr>
          <w:trHeight w:val="325"/>
        </w:trPr>
        <w:tc>
          <w:tcPr>
            <w:tcW w:w="3181" w:type="pct"/>
            <w:shd w:val="clear" w:color="auto" w:fill="2F5496" w:themeFill="accent1" w:themeFillShade="BF"/>
            <w:noWrap/>
            <w:vAlign w:val="center"/>
            <w:hideMark/>
          </w:tcPr>
          <w:p w14:paraId="3565BB93" w14:textId="77777777" w:rsidR="001B6251" w:rsidRPr="00045210" w:rsidRDefault="001B6251" w:rsidP="00624B5E">
            <w:pPr>
              <w:spacing w:after="160" w:line="259" w:lineRule="auto"/>
              <w:jc w:val="both"/>
              <w:rPr>
                <w:rFonts w:ascii="Tahoma" w:hAnsi="Tahoma" w:cs="Tahoma"/>
                <w:b/>
                <w:bCs/>
                <w:color w:val="FFFFFF" w:themeColor="background1"/>
                <w:sz w:val="21"/>
                <w:szCs w:val="21"/>
                <w:lang w:val="sr-Cyrl-RS"/>
              </w:rPr>
            </w:pPr>
            <w:r w:rsidRPr="00045210">
              <w:rPr>
                <w:rFonts w:ascii="Tahoma" w:hAnsi="Tahoma" w:cs="Tahoma"/>
                <w:b/>
                <w:bCs/>
                <w:color w:val="FFFFFF" w:themeColor="background1"/>
                <w:sz w:val="21"/>
                <w:szCs w:val="21"/>
                <w:lang w:val="sr-Cyrl-RS"/>
              </w:rPr>
              <w:t>Новчана давања</w:t>
            </w:r>
          </w:p>
        </w:tc>
        <w:tc>
          <w:tcPr>
            <w:tcW w:w="1819" w:type="pct"/>
            <w:shd w:val="clear" w:color="auto" w:fill="2F5496" w:themeFill="accent1" w:themeFillShade="BF"/>
            <w:noWrap/>
            <w:vAlign w:val="center"/>
          </w:tcPr>
          <w:p w14:paraId="1AD9B50C" w14:textId="5B39E0E7" w:rsidR="001B6251" w:rsidRPr="005A1A9F" w:rsidRDefault="008A29C5" w:rsidP="00624B5E">
            <w:pPr>
              <w:spacing w:after="160" w:line="259" w:lineRule="auto"/>
              <w:jc w:val="both"/>
              <w:rPr>
                <w:rFonts w:ascii="Tahoma" w:hAnsi="Tahoma" w:cs="Tahoma"/>
                <w:b/>
                <w:bCs/>
                <w:color w:val="FFFFFF" w:themeColor="background1"/>
                <w:sz w:val="21"/>
                <w:szCs w:val="21"/>
                <w:lang w:val="sr-Cyrl-RS"/>
              </w:rPr>
            </w:pPr>
            <w:r>
              <w:rPr>
                <w:rFonts w:ascii="Tahoma" w:hAnsi="Tahoma" w:cs="Tahoma"/>
                <w:b/>
                <w:bCs/>
                <w:color w:val="FFFFFF" w:themeColor="background1"/>
                <w:sz w:val="21"/>
                <w:szCs w:val="21"/>
                <w:lang w:val="sr-Cyrl-RS"/>
              </w:rPr>
              <w:t xml:space="preserve">    </w:t>
            </w:r>
            <w:r w:rsidRPr="008A29C5">
              <w:rPr>
                <w:rFonts w:ascii="Tahoma" w:hAnsi="Tahoma" w:cs="Tahoma"/>
                <w:b/>
                <w:bCs/>
                <w:color w:val="FFFFFF" w:themeColor="background1"/>
                <w:sz w:val="21"/>
                <w:szCs w:val="21"/>
                <w:lang w:val="sr-Cyrl-RS"/>
              </w:rPr>
              <w:t>5</w:t>
            </w:r>
            <w:r>
              <w:rPr>
                <w:rFonts w:ascii="Tahoma" w:hAnsi="Tahoma" w:cs="Tahoma"/>
                <w:b/>
                <w:bCs/>
                <w:color w:val="FFFFFF" w:themeColor="background1"/>
                <w:sz w:val="21"/>
                <w:szCs w:val="21"/>
                <w:lang w:val="sr-Cyrl-RS"/>
              </w:rPr>
              <w:t>.</w:t>
            </w:r>
            <w:r w:rsidRPr="008A29C5">
              <w:rPr>
                <w:rFonts w:ascii="Tahoma" w:hAnsi="Tahoma" w:cs="Tahoma"/>
                <w:b/>
                <w:bCs/>
                <w:color w:val="FFFFFF" w:themeColor="background1"/>
                <w:sz w:val="21"/>
                <w:szCs w:val="21"/>
                <w:lang w:val="sr-Cyrl-RS"/>
              </w:rPr>
              <w:t>407</w:t>
            </w:r>
            <w:r>
              <w:rPr>
                <w:rFonts w:ascii="Tahoma" w:hAnsi="Tahoma" w:cs="Tahoma"/>
                <w:b/>
                <w:bCs/>
                <w:color w:val="FFFFFF" w:themeColor="background1"/>
                <w:sz w:val="21"/>
                <w:szCs w:val="21"/>
                <w:lang w:val="sr-Cyrl-RS"/>
              </w:rPr>
              <w:t>.</w:t>
            </w:r>
            <w:r w:rsidRPr="008A29C5">
              <w:rPr>
                <w:rFonts w:ascii="Tahoma" w:hAnsi="Tahoma" w:cs="Tahoma"/>
                <w:b/>
                <w:bCs/>
                <w:color w:val="FFFFFF" w:themeColor="background1"/>
                <w:sz w:val="21"/>
                <w:szCs w:val="21"/>
                <w:lang w:val="sr-Cyrl-RS"/>
              </w:rPr>
              <w:t>536</w:t>
            </w:r>
          </w:p>
        </w:tc>
      </w:tr>
      <w:tr w:rsidR="001B6251" w:rsidRPr="00045210" w14:paraId="3F9EE072" w14:textId="77777777" w:rsidTr="000D4109">
        <w:trPr>
          <w:trHeight w:val="253"/>
        </w:trPr>
        <w:tc>
          <w:tcPr>
            <w:tcW w:w="3181" w:type="pct"/>
            <w:shd w:val="clear" w:color="auto" w:fill="D9E2F3" w:themeFill="accent1" w:themeFillTint="33"/>
            <w:noWrap/>
            <w:vAlign w:val="center"/>
          </w:tcPr>
          <w:p w14:paraId="7000AD3D" w14:textId="0F687FB9" w:rsidR="001B6251" w:rsidRPr="00045210" w:rsidRDefault="00A267AC" w:rsidP="00624B5E">
            <w:pPr>
              <w:spacing w:after="160" w:line="259" w:lineRule="auto"/>
              <w:ind w:firstLineChars="100" w:firstLine="210"/>
              <w:jc w:val="both"/>
              <w:rPr>
                <w:rFonts w:ascii="Tahoma" w:hAnsi="Tahoma" w:cs="Tahoma"/>
                <w:color w:val="1F3864" w:themeColor="accent1" w:themeShade="80"/>
                <w:sz w:val="21"/>
                <w:szCs w:val="21"/>
                <w:lang w:val="sr-Cyrl-RS"/>
              </w:rPr>
            </w:pPr>
            <w:r>
              <w:rPr>
                <w:rFonts w:ascii="Tahoma" w:hAnsi="Tahoma" w:cs="Tahoma"/>
                <w:color w:val="1F3864" w:themeColor="accent1" w:themeShade="80"/>
                <w:sz w:val="21"/>
                <w:szCs w:val="21"/>
                <w:lang w:val="sr-Cyrl-RS"/>
              </w:rPr>
              <w:t>Н</w:t>
            </w:r>
            <w:r w:rsidRPr="00A267AC">
              <w:rPr>
                <w:rFonts w:ascii="Tahoma" w:hAnsi="Tahoma" w:cs="Tahoma"/>
                <w:color w:val="1F3864" w:themeColor="accent1" w:themeShade="80"/>
                <w:sz w:val="21"/>
                <w:szCs w:val="21"/>
                <w:lang w:val="sr-Cyrl-RS"/>
              </w:rPr>
              <w:t>акнада за прворођено дете</w:t>
            </w:r>
          </w:p>
        </w:tc>
        <w:tc>
          <w:tcPr>
            <w:tcW w:w="1819" w:type="pct"/>
            <w:shd w:val="clear" w:color="auto" w:fill="D9E2F3" w:themeFill="accent1" w:themeFillTint="33"/>
            <w:noWrap/>
            <w:vAlign w:val="center"/>
          </w:tcPr>
          <w:p w14:paraId="65030334" w14:textId="301C0375" w:rsidR="001B6251" w:rsidRPr="00D401F5" w:rsidRDefault="00D401F5" w:rsidP="00D401F5">
            <w:pPr>
              <w:jc w:val="both"/>
              <w:rPr>
                <w:rFonts w:ascii="Tahoma" w:hAnsi="Tahoma" w:cs="Tahoma"/>
                <w:color w:val="000000"/>
                <w:sz w:val="21"/>
                <w:szCs w:val="21"/>
                <w:lang w:eastAsia="en-US"/>
              </w:rPr>
            </w:pPr>
            <w:r>
              <w:rPr>
                <w:rFonts w:ascii="Tahoma" w:hAnsi="Tahoma" w:cs="Tahoma"/>
                <w:color w:val="000000"/>
                <w:sz w:val="21"/>
                <w:szCs w:val="21"/>
                <w:lang w:val="sr-Cyrl-RS"/>
              </w:rPr>
              <w:t xml:space="preserve">     </w:t>
            </w:r>
            <w:r w:rsidR="00A267AC" w:rsidRPr="00D401F5">
              <w:rPr>
                <w:rFonts w:ascii="Tahoma" w:hAnsi="Tahoma" w:cs="Tahoma"/>
                <w:color w:val="000000"/>
                <w:sz w:val="21"/>
                <w:szCs w:val="21"/>
              </w:rPr>
              <w:t>3</w:t>
            </w:r>
            <w:r>
              <w:rPr>
                <w:rFonts w:ascii="Tahoma" w:hAnsi="Tahoma" w:cs="Tahoma"/>
                <w:color w:val="000000"/>
                <w:sz w:val="21"/>
                <w:szCs w:val="21"/>
                <w:lang w:val="sr-Cyrl-RS"/>
              </w:rPr>
              <w:t>.</w:t>
            </w:r>
            <w:r w:rsidR="00A267AC" w:rsidRPr="00D401F5">
              <w:rPr>
                <w:rFonts w:ascii="Tahoma" w:hAnsi="Tahoma" w:cs="Tahoma"/>
                <w:color w:val="000000"/>
                <w:sz w:val="21"/>
                <w:szCs w:val="21"/>
              </w:rPr>
              <w:t>627</w:t>
            </w:r>
            <w:r>
              <w:rPr>
                <w:rFonts w:ascii="Tahoma" w:hAnsi="Tahoma" w:cs="Tahoma"/>
                <w:color w:val="000000"/>
                <w:sz w:val="21"/>
                <w:szCs w:val="21"/>
                <w:lang w:val="sr-Cyrl-RS"/>
              </w:rPr>
              <w:t>.</w:t>
            </w:r>
            <w:r w:rsidR="00A267AC" w:rsidRPr="00D401F5">
              <w:rPr>
                <w:rFonts w:ascii="Tahoma" w:hAnsi="Tahoma" w:cs="Tahoma"/>
                <w:color w:val="000000"/>
                <w:sz w:val="21"/>
                <w:szCs w:val="21"/>
              </w:rPr>
              <w:t>000</w:t>
            </w:r>
          </w:p>
        </w:tc>
      </w:tr>
      <w:tr w:rsidR="000D4109" w:rsidRPr="00045210" w14:paraId="6623819B" w14:textId="77777777" w:rsidTr="000D4109">
        <w:trPr>
          <w:trHeight w:val="20"/>
        </w:trPr>
        <w:tc>
          <w:tcPr>
            <w:tcW w:w="3181" w:type="pct"/>
            <w:shd w:val="clear" w:color="auto" w:fill="B4C6E7" w:themeFill="accent1" w:themeFillTint="66"/>
            <w:noWrap/>
            <w:vAlign w:val="center"/>
          </w:tcPr>
          <w:p w14:paraId="7522A1D6" w14:textId="77777777" w:rsidR="00A267AC" w:rsidRDefault="00A267AC" w:rsidP="00A267AC">
            <w:pPr>
              <w:spacing w:line="259" w:lineRule="auto"/>
              <w:ind w:firstLineChars="100" w:firstLine="210"/>
              <w:jc w:val="both"/>
              <w:rPr>
                <w:rFonts w:ascii="Tahoma" w:hAnsi="Tahoma" w:cs="Tahoma"/>
                <w:color w:val="1F3864" w:themeColor="accent1" w:themeShade="80"/>
                <w:sz w:val="21"/>
                <w:szCs w:val="21"/>
                <w:lang w:val="sr-Cyrl-RS"/>
              </w:rPr>
            </w:pPr>
            <w:r>
              <w:rPr>
                <w:rFonts w:ascii="Tahoma" w:hAnsi="Tahoma" w:cs="Tahoma"/>
                <w:color w:val="1F3864" w:themeColor="accent1" w:themeShade="80"/>
                <w:sz w:val="21"/>
                <w:szCs w:val="21"/>
                <w:lang w:val="sr-Cyrl-RS"/>
              </w:rPr>
              <w:t>Н</w:t>
            </w:r>
            <w:r w:rsidRPr="00A267AC">
              <w:rPr>
                <w:rFonts w:ascii="Tahoma" w:hAnsi="Tahoma" w:cs="Tahoma"/>
                <w:color w:val="1F3864" w:themeColor="accent1" w:themeShade="80"/>
                <w:sz w:val="21"/>
                <w:szCs w:val="21"/>
                <w:lang w:val="sr-Cyrl-RS"/>
              </w:rPr>
              <w:t xml:space="preserve">овчана давања ученицима и студентима </w:t>
            </w:r>
          </w:p>
          <w:p w14:paraId="4D15473C" w14:textId="6C79BBD6" w:rsidR="000D4109" w:rsidRPr="00045210" w:rsidRDefault="00A267AC" w:rsidP="000D4109">
            <w:pPr>
              <w:spacing w:after="160" w:line="259" w:lineRule="auto"/>
              <w:ind w:firstLineChars="100" w:firstLine="210"/>
              <w:jc w:val="both"/>
              <w:rPr>
                <w:rFonts w:ascii="Tahoma" w:hAnsi="Tahoma" w:cs="Tahoma"/>
                <w:color w:val="1F3864" w:themeColor="accent1" w:themeShade="80"/>
                <w:sz w:val="21"/>
                <w:szCs w:val="21"/>
                <w:lang w:val="sr-Cyrl-RS"/>
              </w:rPr>
            </w:pPr>
            <w:r>
              <w:rPr>
                <w:rFonts w:ascii="Tahoma" w:hAnsi="Tahoma" w:cs="Tahoma"/>
                <w:color w:val="1F3864" w:themeColor="accent1" w:themeShade="80"/>
                <w:sz w:val="21"/>
                <w:szCs w:val="21"/>
                <w:lang w:val="sr-Cyrl-RS"/>
              </w:rPr>
              <w:t xml:space="preserve">који су корисници </w:t>
            </w:r>
            <w:r w:rsidRPr="00A267AC">
              <w:rPr>
                <w:rFonts w:ascii="Tahoma" w:hAnsi="Tahoma" w:cs="Tahoma"/>
                <w:color w:val="1F3864" w:themeColor="accent1" w:themeShade="80"/>
                <w:sz w:val="21"/>
                <w:szCs w:val="21"/>
                <w:lang w:val="sr-Cyrl-RS"/>
              </w:rPr>
              <w:t>НСП</w:t>
            </w:r>
          </w:p>
        </w:tc>
        <w:tc>
          <w:tcPr>
            <w:tcW w:w="1819" w:type="pct"/>
            <w:shd w:val="clear" w:color="auto" w:fill="B4C6E7" w:themeFill="accent1" w:themeFillTint="66"/>
            <w:noWrap/>
            <w:vAlign w:val="center"/>
          </w:tcPr>
          <w:p w14:paraId="445AB020" w14:textId="53F8CEC2" w:rsidR="000D4109" w:rsidRPr="00045210" w:rsidRDefault="00D401F5" w:rsidP="000D4109">
            <w:pPr>
              <w:spacing w:after="160" w:line="259" w:lineRule="auto"/>
              <w:jc w:val="both"/>
              <w:rPr>
                <w:rFonts w:ascii="Tahoma" w:hAnsi="Tahoma" w:cs="Tahoma"/>
                <w:sz w:val="21"/>
                <w:szCs w:val="21"/>
                <w:lang w:val="sr-Cyrl-RS"/>
              </w:rPr>
            </w:pPr>
            <w:r>
              <w:rPr>
                <w:rFonts w:ascii="Tahoma" w:hAnsi="Tahoma" w:cs="Tahoma"/>
                <w:sz w:val="21"/>
                <w:szCs w:val="21"/>
                <w:lang w:val="sr-Cyrl-RS"/>
              </w:rPr>
              <w:t xml:space="preserve">        </w:t>
            </w:r>
            <w:r w:rsidRPr="00D401F5">
              <w:rPr>
                <w:rFonts w:ascii="Tahoma" w:hAnsi="Tahoma" w:cs="Tahoma"/>
                <w:sz w:val="21"/>
                <w:szCs w:val="21"/>
                <w:lang w:val="sr-Cyrl-RS"/>
              </w:rPr>
              <w:t>100</w:t>
            </w:r>
            <w:r>
              <w:rPr>
                <w:rFonts w:ascii="Tahoma" w:hAnsi="Tahoma" w:cs="Tahoma"/>
                <w:sz w:val="21"/>
                <w:szCs w:val="21"/>
                <w:lang w:val="sr-Cyrl-RS"/>
              </w:rPr>
              <w:t>.</w:t>
            </w:r>
            <w:r w:rsidRPr="00D401F5">
              <w:rPr>
                <w:rFonts w:ascii="Tahoma" w:hAnsi="Tahoma" w:cs="Tahoma"/>
                <w:sz w:val="21"/>
                <w:szCs w:val="21"/>
                <w:lang w:val="sr-Cyrl-RS"/>
              </w:rPr>
              <w:t>000</w:t>
            </w:r>
          </w:p>
        </w:tc>
      </w:tr>
      <w:tr w:rsidR="00A267AC" w:rsidRPr="00045210" w14:paraId="1B50AC8C" w14:textId="77777777" w:rsidTr="00A267AC">
        <w:trPr>
          <w:trHeight w:val="20"/>
        </w:trPr>
        <w:tc>
          <w:tcPr>
            <w:tcW w:w="3181" w:type="pct"/>
            <w:shd w:val="clear" w:color="auto" w:fill="D9E2F3" w:themeFill="accent1" w:themeFillTint="33"/>
            <w:noWrap/>
            <w:vAlign w:val="center"/>
          </w:tcPr>
          <w:p w14:paraId="3443B65E" w14:textId="7D3CE63D" w:rsidR="00A267AC" w:rsidRDefault="00A267AC" w:rsidP="00A267AC">
            <w:pPr>
              <w:spacing w:line="259" w:lineRule="auto"/>
              <w:ind w:firstLineChars="100" w:firstLine="210"/>
              <w:jc w:val="both"/>
              <w:rPr>
                <w:rFonts w:ascii="Tahoma" w:hAnsi="Tahoma" w:cs="Tahoma"/>
                <w:color w:val="1F3864" w:themeColor="accent1" w:themeShade="80"/>
                <w:sz w:val="21"/>
                <w:szCs w:val="21"/>
                <w:lang w:val="sr-Cyrl-RS"/>
              </w:rPr>
            </w:pPr>
            <w:r w:rsidRPr="00A267AC">
              <w:rPr>
                <w:rFonts w:ascii="Tahoma" w:hAnsi="Tahoma" w:cs="Tahoma"/>
                <w:color w:val="1F3864" w:themeColor="accent1" w:themeShade="80"/>
                <w:sz w:val="21"/>
                <w:szCs w:val="21"/>
                <w:lang w:val="sr-Cyrl-RS"/>
              </w:rPr>
              <w:t xml:space="preserve">Једнократна новчана помоћ </w:t>
            </w:r>
            <w:r>
              <w:rPr>
                <w:rFonts w:ascii="Tahoma" w:hAnsi="Tahoma" w:cs="Tahoma"/>
                <w:color w:val="1F3864" w:themeColor="accent1" w:themeShade="80"/>
                <w:sz w:val="21"/>
                <w:szCs w:val="21"/>
                <w:lang w:val="sr-Cyrl-RS"/>
              </w:rPr>
              <w:t>(ЈНП)</w:t>
            </w:r>
          </w:p>
          <w:p w14:paraId="6AE4A6D0" w14:textId="2A69B4A4" w:rsidR="00A267AC" w:rsidRPr="000D4109" w:rsidRDefault="00A267AC" w:rsidP="000D4109">
            <w:pPr>
              <w:spacing w:after="160" w:line="259" w:lineRule="auto"/>
              <w:ind w:firstLineChars="100" w:firstLine="210"/>
              <w:jc w:val="both"/>
              <w:rPr>
                <w:rFonts w:ascii="Tahoma" w:hAnsi="Tahoma" w:cs="Tahoma"/>
                <w:color w:val="1F3864" w:themeColor="accent1" w:themeShade="80"/>
                <w:sz w:val="21"/>
                <w:szCs w:val="21"/>
                <w:lang w:val="sr-Cyrl-RS"/>
              </w:rPr>
            </w:pPr>
            <w:r w:rsidRPr="00A267AC">
              <w:rPr>
                <w:rFonts w:ascii="Tahoma" w:hAnsi="Tahoma" w:cs="Tahoma"/>
                <w:color w:val="1F3864" w:themeColor="accent1" w:themeShade="80"/>
                <w:sz w:val="21"/>
                <w:szCs w:val="21"/>
                <w:lang w:val="sr-Cyrl-RS"/>
              </w:rPr>
              <w:t>за друге потребе лица у стању социјалне потребе</w:t>
            </w:r>
          </w:p>
        </w:tc>
        <w:tc>
          <w:tcPr>
            <w:tcW w:w="1819" w:type="pct"/>
            <w:shd w:val="clear" w:color="auto" w:fill="D9E2F3" w:themeFill="accent1" w:themeFillTint="33"/>
            <w:noWrap/>
            <w:vAlign w:val="center"/>
          </w:tcPr>
          <w:p w14:paraId="60E0635C" w14:textId="08ED9336" w:rsidR="00A267AC" w:rsidRPr="00045210" w:rsidRDefault="00D401F5" w:rsidP="000D4109">
            <w:pPr>
              <w:spacing w:after="160" w:line="259" w:lineRule="auto"/>
              <w:jc w:val="both"/>
              <w:rPr>
                <w:rFonts w:ascii="Tahoma" w:hAnsi="Tahoma" w:cs="Tahoma"/>
                <w:sz w:val="21"/>
                <w:szCs w:val="21"/>
                <w:lang w:val="sr-Cyrl-RS"/>
              </w:rPr>
            </w:pPr>
            <w:r>
              <w:rPr>
                <w:rFonts w:ascii="Tahoma" w:hAnsi="Tahoma" w:cs="Tahoma"/>
                <w:sz w:val="21"/>
                <w:szCs w:val="21"/>
                <w:lang w:val="sr-Cyrl-RS"/>
              </w:rPr>
              <w:t xml:space="preserve">        </w:t>
            </w:r>
            <w:r w:rsidRPr="00D401F5">
              <w:rPr>
                <w:rFonts w:ascii="Tahoma" w:hAnsi="Tahoma" w:cs="Tahoma"/>
                <w:sz w:val="21"/>
                <w:szCs w:val="21"/>
                <w:lang w:val="sr-Cyrl-RS"/>
              </w:rPr>
              <w:t>963</w:t>
            </w:r>
            <w:r>
              <w:rPr>
                <w:rFonts w:ascii="Tahoma" w:hAnsi="Tahoma" w:cs="Tahoma"/>
                <w:sz w:val="21"/>
                <w:szCs w:val="21"/>
                <w:lang w:val="sr-Cyrl-RS"/>
              </w:rPr>
              <w:t>.</w:t>
            </w:r>
            <w:r w:rsidRPr="00D401F5">
              <w:rPr>
                <w:rFonts w:ascii="Tahoma" w:hAnsi="Tahoma" w:cs="Tahoma"/>
                <w:sz w:val="21"/>
                <w:szCs w:val="21"/>
                <w:lang w:val="sr-Cyrl-RS"/>
              </w:rPr>
              <w:t>691</w:t>
            </w:r>
          </w:p>
        </w:tc>
      </w:tr>
      <w:tr w:rsidR="00A267AC" w:rsidRPr="00045210" w14:paraId="453A0863" w14:textId="77777777" w:rsidTr="000D4109">
        <w:trPr>
          <w:trHeight w:val="20"/>
        </w:trPr>
        <w:tc>
          <w:tcPr>
            <w:tcW w:w="3181" w:type="pct"/>
            <w:shd w:val="clear" w:color="auto" w:fill="B4C6E7" w:themeFill="accent1" w:themeFillTint="66"/>
            <w:noWrap/>
            <w:vAlign w:val="center"/>
          </w:tcPr>
          <w:p w14:paraId="00F82E76" w14:textId="486D3F21" w:rsidR="00A267AC" w:rsidRPr="000D4109" w:rsidRDefault="00A267AC" w:rsidP="000D4109">
            <w:pPr>
              <w:spacing w:after="160" w:line="259" w:lineRule="auto"/>
              <w:ind w:firstLineChars="100" w:firstLine="210"/>
              <w:jc w:val="both"/>
              <w:rPr>
                <w:rFonts w:ascii="Tahoma" w:hAnsi="Tahoma" w:cs="Tahoma"/>
                <w:color w:val="1F3864" w:themeColor="accent1" w:themeShade="80"/>
                <w:sz w:val="21"/>
                <w:szCs w:val="21"/>
                <w:lang w:val="sr-Cyrl-RS"/>
              </w:rPr>
            </w:pPr>
            <w:r w:rsidRPr="00A267AC">
              <w:rPr>
                <w:rFonts w:ascii="Tahoma" w:hAnsi="Tahoma" w:cs="Tahoma"/>
                <w:color w:val="1F3864" w:themeColor="accent1" w:themeShade="80"/>
                <w:sz w:val="21"/>
                <w:szCs w:val="21"/>
                <w:lang w:val="sr-Cyrl-RS"/>
              </w:rPr>
              <w:t>Једнократна новчана помоћ за огрев</w:t>
            </w:r>
          </w:p>
        </w:tc>
        <w:tc>
          <w:tcPr>
            <w:tcW w:w="1819" w:type="pct"/>
            <w:shd w:val="clear" w:color="auto" w:fill="B4C6E7" w:themeFill="accent1" w:themeFillTint="66"/>
            <w:noWrap/>
            <w:vAlign w:val="center"/>
          </w:tcPr>
          <w:p w14:paraId="4C1B0FCD" w14:textId="2A2B53EA" w:rsidR="00A267AC" w:rsidRPr="00045210" w:rsidRDefault="00D401F5" w:rsidP="000D4109">
            <w:pPr>
              <w:spacing w:after="160" w:line="259" w:lineRule="auto"/>
              <w:jc w:val="both"/>
              <w:rPr>
                <w:rFonts w:ascii="Tahoma" w:hAnsi="Tahoma" w:cs="Tahoma"/>
                <w:sz w:val="21"/>
                <w:szCs w:val="21"/>
                <w:lang w:val="sr-Cyrl-RS"/>
              </w:rPr>
            </w:pPr>
            <w:r>
              <w:rPr>
                <w:rFonts w:ascii="Tahoma" w:hAnsi="Tahoma" w:cs="Tahoma"/>
                <w:sz w:val="21"/>
                <w:szCs w:val="21"/>
                <w:lang w:val="sr-Cyrl-RS"/>
              </w:rPr>
              <w:t xml:space="preserve">        </w:t>
            </w:r>
            <w:r w:rsidRPr="00D401F5">
              <w:rPr>
                <w:rFonts w:ascii="Tahoma" w:hAnsi="Tahoma" w:cs="Tahoma"/>
                <w:sz w:val="21"/>
                <w:szCs w:val="21"/>
                <w:lang w:val="sr-Cyrl-RS"/>
              </w:rPr>
              <w:t>642</w:t>
            </w:r>
            <w:r>
              <w:rPr>
                <w:rFonts w:ascii="Tahoma" w:hAnsi="Tahoma" w:cs="Tahoma"/>
                <w:sz w:val="21"/>
                <w:szCs w:val="21"/>
                <w:lang w:val="sr-Cyrl-RS"/>
              </w:rPr>
              <w:t>.</w:t>
            </w:r>
            <w:r w:rsidRPr="00D401F5">
              <w:rPr>
                <w:rFonts w:ascii="Tahoma" w:hAnsi="Tahoma" w:cs="Tahoma"/>
                <w:sz w:val="21"/>
                <w:szCs w:val="21"/>
                <w:lang w:val="sr-Cyrl-RS"/>
              </w:rPr>
              <w:t>510</w:t>
            </w:r>
          </w:p>
        </w:tc>
      </w:tr>
      <w:tr w:rsidR="00A267AC" w:rsidRPr="00045210" w14:paraId="3400CC27" w14:textId="77777777" w:rsidTr="00A267AC">
        <w:trPr>
          <w:trHeight w:val="20"/>
        </w:trPr>
        <w:tc>
          <w:tcPr>
            <w:tcW w:w="3181" w:type="pct"/>
            <w:shd w:val="clear" w:color="auto" w:fill="D9E2F3" w:themeFill="accent1" w:themeFillTint="33"/>
            <w:noWrap/>
            <w:vAlign w:val="center"/>
          </w:tcPr>
          <w:p w14:paraId="2EE6FDA7" w14:textId="1CFD1901" w:rsidR="00A267AC" w:rsidRPr="000D4109" w:rsidRDefault="00A267AC" w:rsidP="00A267AC">
            <w:pPr>
              <w:spacing w:line="259" w:lineRule="auto"/>
              <w:ind w:firstLineChars="100" w:firstLine="210"/>
              <w:jc w:val="both"/>
              <w:rPr>
                <w:rFonts w:ascii="Tahoma" w:hAnsi="Tahoma" w:cs="Tahoma"/>
                <w:color w:val="1F3864" w:themeColor="accent1" w:themeShade="80"/>
                <w:sz w:val="21"/>
                <w:szCs w:val="21"/>
                <w:lang w:val="sr-Cyrl-RS"/>
              </w:rPr>
            </w:pPr>
            <w:r>
              <w:rPr>
                <w:rFonts w:ascii="Tahoma" w:hAnsi="Tahoma" w:cs="Tahoma"/>
                <w:color w:val="1F3864" w:themeColor="accent1" w:themeShade="80"/>
                <w:sz w:val="21"/>
                <w:szCs w:val="21"/>
                <w:lang w:val="sr-Cyrl-RS"/>
              </w:rPr>
              <w:t>ЈНП</w:t>
            </w:r>
            <w:r w:rsidRPr="00A267AC">
              <w:rPr>
                <w:rFonts w:ascii="Tahoma" w:hAnsi="Tahoma" w:cs="Tahoma"/>
                <w:color w:val="1F3864" w:themeColor="accent1" w:themeShade="80"/>
                <w:sz w:val="21"/>
                <w:szCs w:val="21"/>
                <w:lang w:val="sr-Cyrl-RS"/>
              </w:rPr>
              <w:t xml:space="preserve"> за побољшање стамбених услова</w:t>
            </w:r>
          </w:p>
        </w:tc>
        <w:tc>
          <w:tcPr>
            <w:tcW w:w="1819" w:type="pct"/>
            <w:shd w:val="clear" w:color="auto" w:fill="D9E2F3" w:themeFill="accent1" w:themeFillTint="33"/>
            <w:noWrap/>
            <w:vAlign w:val="center"/>
          </w:tcPr>
          <w:p w14:paraId="6E9DBA4B" w14:textId="46C70DC1" w:rsidR="00A267AC" w:rsidRPr="00045210" w:rsidRDefault="00D401F5" w:rsidP="000D4109">
            <w:pPr>
              <w:spacing w:after="160" w:line="259" w:lineRule="auto"/>
              <w:jc w:val="both"/>
              <w:rPr>
                <w:rFonts w:ascii="Tahoma" w:hAnsi="Tahoma" w:cs="Tahoma"/>
                <w:sz w:val="21"/>
                <w:szCs w:val="21"/>
                <w:lang w:val="sr-Cyrl-RS"/>
              </w:rPr>
            </w:pPr>
            <w:r>
              <w:rPr>
                <w:rFonts w:ascii="Tahoma" w:hAnsi="Tahoma" w:cs="Tahoma"/>
                <w:sz w:val="21"/>
                <w:szCs w:val="21"/>
                <w:lang w:val="sr-Cyrl-RS"/>
              </w:rPr>
              <w:t xml:space="preserve">          </w:t>
            </w:r>
            <w:r w:rsidRPr="00D401F5">
              <w:rPr>
                <w:rFonts w:ascii="Tahoma" w:hAnsi="Tahoma" w:cs="Tahoma"/>
                <w:sz w:val="21"/>
                <w:szCs w:val="21"/>
                <w:lang w:val="sr-Cyrl-RS"/>
              </w:rPr>
              <w:t>42</w:t>
            </w:r>
            <w:r>
              <w:rPr>
                <w:rFonts w:ascii="Tahoma" w:hAnsi="Tahoma" w:cs="Tahoma"/>
                <w:sz w:val="21"/>
                <w:szCs w:val="21"/>
                <w:lang w:val="sr-Cyrl-RS"/>
              </w:rPr>
              <w:t>.</w:t>
            </w:r>
            <w:r w:rsidRPr="00D401F5">
              <w:rPr>
                <w:rFonts w:ascii="Tahoma" w:hAnsi="Tahoma" w:cs="Tahoma"/>
                <w:sz w:val="21"/>
                <w:szCs w:val="21"/>
                <w:lang w:val="sr-Cyrl-RS"/>
              </w:rPr>
              <w:t>000</w:t>
            </w:r>
          </w:p>
        </w:tc>
      </w:tr>
      <w:tr w:rsidR="00A267AC" w:rsidRPr="00045210" w14:paraId="3934C1D1" w14:textId="77777777" w:rsidTr="000D4109">
        <w:trPr>
          <w:trHeight w:val="20"/>
        </w:trPr>
        <w:tc>
          <w:tcPr>
            <w:tcW w:w="3181" w:type="pct"/>
            <w:shd w:val="clear" w:color="auto" w:fill="B4C6E7" w:themeFill="accent1" w:themeFillTint="66"/>
            <w:noWrap/>
            <w:vAlign w:val="center"/>
          </w:tcPr>
          <w:p w14:paraId="1DA4C638" w14:textId="16CEA635" w:rsidR="00A267AC" w:rsidRPr="000D4109" w:rsidRDefault="00A267AC" w:rsidP="000D4109">
            <w:pPr>
              <w:spacing w:after="160" w:line="259" w:lineRule="auto"/>
              <w:ind w:firstLineChars="100" w:firstLine="210"/>
              <w:jc w:val="both"/>
              <w:rPr>
                <w:rFonts w:ascii="Tahoma" w:hAnsi="Tahoma" w:cs="Tahoma"/>
                <w:color w:val="1F3864" w:themeColor="accent1" w:themeShade="80"/>
                <w:sz w:val="21"/>
                <w:szCs w:val="21"/>
                <w:lang w:val="sr-Cyrl-RS"/>
              </w:rPr>
            </w:pPr>
            <w:r w:rsidRPr="00A267AC">
              <w:rPr>
                <w:rFonts w:ascii="Tahoma" w:hAnsi="Tahoma" w:cs="Tahoma"/>
                <w:color w:val="1F3864" w:themeColor="accent1" w:themeShade="80"/>
                <w:sz w:val="21"/>
                <w:szCs w:val="21"/>
                <w:lang w:val="sr-Cyrl-RS"/>
              </w:rPr>
              <w:t>Опрема корисника за смештај у установу СЗ</w:t>
            </w:r>
          </w:p>
        </w:tc>
        <w:tc>
          <w:tcPr>
            <w:tcW w:w="1819" w:type="pct"/>
            <w:shd w:val="clear" w:color="auto" w:fill="B4C6E7" w:themeFill="accent1" w:themeFillTint="66"/>
            <w:noWrap/>
            <w:vAlign w:val="center"/>
          </w:tcPr>
          <w:p w14:paraId="555501D9" w14:textId="441ED374" w:rsidR="00A267AC" w:rsidRPr="00D401F5" w:rsidRDefault="00D401F5" w:rsidP="00D401F5">
            <w:pPr>
              <w:jc w:val="both"/>
              <w:rPr>
                <w:rFonts w:ascii="Tahoma" w:hAnsi="Tahoma" w:cs="Tahoma"/>
                <w:color w:val="000000"/>
                <w:sz w:val="21"/>
                <w:szCs w:val="21"/>
                <w:lang w:eastAsia="en-US"/>
              </w:rPr>
            </w:pPr>
            <w:r>
              <w:rPr>
                <w:rFonts w:ascii="Tahoma" w:hAnsi="Tahoma" w:cs="Tahoma"/>
                <w:color w:val="000000"/>
                <w:sz w:val="21"/>
                <w:szCs w:val="21"/>
                <w:lang w:val="sr-Cyrl-RS"/>
              </w:rPr>
              <w:t xml:space="preserve">          </w:t>
            </w:r>
            <w:r w:rsidRPr="00D401F5">
              <w:rPr>
                <w:rFonts w:ascii="Tahoma" w:hAnsi="Tahoma" w:cs="Tahoma"/>
                <w:color w:val="000000"/>
                <w:sz w:val="21"/>
                <w:szCs w:val="21"/>
              </w:rPr>
              <w:t>32</w:t>
            </w:r>
            <w:r>
              <w:rPr>
                <w:rFonts w:ascii="Tahoma" w:hAnsi="Tahoma" w:cs="Tahoma"/>
                <w:color w:val="000000"/>
                <w:sz w:val="21"/>
                <w:szCs w:val="21"/>
                <w:lang w:val="sr-Cyrl-RS"/>
              </w:rPr>
              <w:t>.</w:t>
            </w:r>
            <w:r w:rsidRPr="00D401F5">
              <w:rPr>
                <w:rFonts w:ascii="Tahoma" w:hAnsi="Tahoma" w:cs="Tahoma"/>
                <w:color w:val="000000"/>
                <w:sz w:val="21"/>
                <w:szCs w:val="21"/>
              </w:rPr>
              <w:t>335</w:t>
            </w:r>
          </w:p>
        </w:tc>
      </w:tr>
      <w:tr w:rsidR="00A267AC" w:rsidRPr="00045210" w14:paraId="21F24362" w14:textId="77777777" w:rsidTr="00A267AC">
        <w:trPr>
          <w:trHeight w:val="20"/>
        </w:trPr>
        <w:tc>
          <w:tcPr>
            <w:tcW w:w="3181" w:type="pct"/>
            <w:shd w:val="clear" w:color="auto" w:fill="2F5496" w:themeFill="accent1" w:themeFillShade="BF"/>
            <w:noWrap/>
            <w:vAlign w:val="center"/>
          </w:tcPr>
          <w:p w14:paraId="0CB86E04" w14:textId="30AF7073" w:rsidR="00A267AC" w:rsidRPr="00A267AC" w:rsidRDefault="00A267AC" w:rsidP="00A267AC">
            <w:pPr>
              <w:spacing w:after="160" w:line="259" w:lineRule="auto"/>
              <w:jc w:val="both"/>
              <w:rPr>
                <w:rFonts w:ascii="Tahoma" w:hAnsi="Tahoma" w:cs="Tahoma"/>
                <w:b/>
                <w:bCs/>
                <w:color w:val="FFFFFF" w:themeColor="background1"/>
                <w:sz w:val="21"/>
                <w:szCs w:val="21"/>
                <w:lang w:val="sr-Cyrl-RS"/>
              </w:rPr>
            </w:pPr>
            <w:r>
              <w:rPr>
                <w:rFonts w:ascii="Tahoma" w:hAnsi="Tahoma" w:cs="Tahoma"/>
                <w:b/>
                <w:bCs/>
                <w:color w:val="FFFFFF" w:themeColor="background1"/>
                <w:sz w:val="21"/>
                <w:szCs w:val="21"/>
                <w:lang w:val="sr-Cyrl-RS"/>
              </w:rPr>
              <w:t>Помоћ у натури</w:t>
            </w:r>
          </w:p>
        </w:tc>
        <w:tc>
          <w:tcPr>
            <w:tcW w:w="1819" w:type="pct"/>
            <w:shd w:val="clear" w:color="auto" w:fill="2F5496" w:themeFill="accent1" w:themeFillShade="BF"/>
            <w:noWrap/>
            <w:vAlign w:val="center"/>
          </w:tcPr>
          <w:p w14:paraId="1A614DCC" w14:textId="719F587E" w:rsidR="00A267AC" w:rsidRPr="00A267AC" w:rsidRDefault="00A14885" w:rsidP="00A267AC">
            <w:pPr>
              <w:spacing w:after="160" w:line="259" w:lineRule="auto"/>
              <w:jc w:val="both"/>
              <w:rPr>
                <w:rFonts w:ascii="Tahoma" w:hAnsi="Tahoma" w:cs="Tahoma"/>
                <w:b/>
                <w:bCs/>
                <w:color w:val="FFFFFF" w:themeColor="background1"/>
                <w:sz w:val="21"/>
                <w:szCs w:val="21"/>
                <w:lang w:val="sr-Cyrl-RS"/>
              </w:rPr>
            </w:pPr>
            <w:r>
              <w:rPr>
                <w:rFonts w:ascii="Tahoma" w:hAnsi="Tahoma" w:cs="Tahoma"/>
                <w:b/>
                <w:bCs/>
                <w:color w:val="FFFFFF" w:themeColor="background1"/>
                <w:sz w:val="21"/>
                <w:szCs w:val="21"/>
                <w:lang w:val="sr-Cyrl-RS"/>
              </w:rPr>
              <w:t xml:space="preserve"> </w:t>
            </w:r>
            <w:r w:rsidR="00F56519">
              <w:rPr>
                <w:rFonts w:ascii="Tahoma" w:hAnsi="Tahoma" w:cs="Tahoma"/>
                <w:b/>
                <w:bCs/>
                <w:color w:val="FFFFFF" w:themeColor="background1"/>
                <w:sz w:val="21"/>
                <w:szCs w:val="21"/>
                <w:lang w:val="sr-Latn-RS"/>
              </w:rPr>
              <w:t xml:space="preserve">  </w:t>
            </w:r>
            <w:r>
              <w:rPr>
                <w:rFonts w:ascii="Tahoma" w:hAnsi="Tahoma" w:cs="Tahoma"/>
                <w:b/>
                <w:bCs/>
                <w:color w:val="FFFFFF" w:themeColor="background1"/>
                <w:sz w:val="21"/>
                <w:szCs w:val="21"/>
                <w:lang w:val="sr-Cyrl-RS"/>
              </w:rPr>
              <w:t xml:space="preserve"> </w:t>
            </w:r>
            <w:r w:rsidR="00B30B4D" w:rsidRPr="00B30B4D">
              <w:rPr>
                <w:rFonts w:ascii="Tahoma" w:hAnsi="Tahoma" w:cs="Tahoma"/>
                <w:b/>
                <w:bCs/>
                <w:color w:val="FFFFFF" w:themeColor="background1"/>
                <w:sz w:val="21"/>
                <w:szCs w:val="21"/>
                <w:lang w:val="sr-Cyrl-RS"/>
              </w:rPr>
              <w:t>1</w:t>
            </w:r>
            <w:r w:rsidR="005D6422">
              <w:rPr>
                <w:rFonts w:ascii="Tahoma" w:hAnsi="Tahoma" w:cs="Tahoma"/>
                <w:b/>
                <w:bCs/>
                <w:color w:val="FFFFFF" w:themeColor="background1"/>
                <w:sz w:val="21"/>
                <w:szCs w:val="21"/>
                <w:lang w:val="sr-Cyrl-RS"/>
              </w:rPr>
              <w:t>.</w:t>
            </w:r>
            <w:r w:rsidR="00B30B4D" w:rsidRPr="00B30B4D">
              <w:rPr>
                <w:rFonts w:ascii="Tahoma" w:hAnsi="Tahoma" w:cs="Tahoma"/>
                <w:b/>
                <w:bCs/>
                <w:color w:val="FFFFFF" w:themeColor="background1"/>
                <w:sz w:val="21"/>
                <w:szCs w:val="21"/>
                <w:lang w:val="sr-Cyrl-RS"/>
              </w:rPr>
              <w:t>584</w:t>
            </w:r>
            <w:r w:rsidR="005D6422">
              <w:rPr>
                <w:rFonts w:ascii="Tahoma" w:hAnsi="Tahoma" w:cs="Tahoma"/>
                <w:b/>
                <w:bCs/>
                <w:color w:val="FFFFFF" w:themeColor="background1"/>
                <w:sz w:val="21"/>
                <w:szCs w:val="21"/>
                <w:lang w:val="sr-Cyrl-RS"/>
              </w:rPr>
              <w:t>.</w:t>
            </w:r>
            <w:r w:rsidR="00B30B4D" w:rsidRPr="00B30B4D">
              <w:rPr>
                <w:rFonts w:ascii="Tahoma" w:hAnsi="Tahoma" w:cs="Tahoma"/>
                <w:b/>
                <w:bCs/>
                <w:color w:val="FFFFFF" w:themeColor="background1"/>
                <w:sz w:val="21"/>
                <w:szCs w:val="21"/>
                <w:lang w:val="sr-Cyrl-RS"/>
              </w:rPr>
              <w:t>93</w:t>
            </w:r>
            <w:r w:rsidR="00B30B4D">
              <w:rPr>
                <w:rFonts w:ascii="Tahoma" w:hAnsi="Tahoma" w:cs="Tahoma"/>
                <w:b/>
                <w:bCs/>
                <w:color w:val="FFFFFF" w:themeColor="background1"/>
                <w:sz w:val="21"/>
                <w:szCs w:val="21"/>
                <w:lang w:val="sr-Cyrl-RS"/>
              </w:rPr>
              <w:t>2</w:t>
            </w:r>
          </w:p>
        </w:tc>
      </w:tr>
      <w:tr w:rsidR="00A267AC" w:rsidRPr="00045210" w14:paraId="17798895" w14:textId="77777777" w:rsidTr="00B30B4D">
        <w:trPr>
          <w:trHeight w:val="20"/>
        </w:trPr>
        <w:tc>
          <w:tcPr>
            <w:tcW w:w="3181" w:type="pct"/>
            <w:shd w:val="clear" w:color="auto" w:fill="D9E2F3" w:themeFill="accent1" w:themeFillTint="33"/>
            <w:noWrap/>
            <w:vAlign w:val="center"/>
          </w:tcPr>
          <w:p w14:paraId="16E8B661" w14:textId="2A6FCCA8" w:rsidR="00A267AC" w:rsidRPr="000D4109" w:rsidRDefault="00B30B4D" w:rsidP="000D4109">
            <w:pPr>
              <w:spacing w:after="160" w:line="259" w:lineRule="auto"/>
              <w:ind w:firstLineChars="100" w:firstLine="210"/>
              <w:jc w:val="both"/>
              <w:rPr>
                <w:rFonts w:ascii="Tahoma" w:hAnsi="Tahoma" w:cs="Tahoma"/>
                <w:color w:val="1F3864" w:themeColor="accent1" w:themeShade="80"/>
                <w:sz w:val="21"/>
                <w:szCs w:val="21"/>
                <w:lang w:val="sr-Cyrl-RS"/>
              </w:rPr>
            </w:pPr>
            <w:r>
              <w:rPr>
                <w:rFonts w:ascii="Tahoma" w:hAnsi="Tahoma" w:cs="Tahoma"/>
                <w:color w:val="1F3864" w:themeColor="accent1" w:themeShade="80"/>
                <w:sz w:val="21"/>
                <w:szCs w:val="21"/>
                <w:lang w:val="sr-Cyrl-RS"/>
              </w:rPr>
              <w:t>Т</w:t>
            </w:r>
            <w:r w:rsidRPr="00B30B4D">
              <w:rPr>
                <w:rFonts w:ascii="Tahoma" w:hAnsi="Tahoma" w:cs="Tahoma"/>
                <w:color w:val="1F3864" w:themeColor="accent1" w:themeShade="80"/>
                <w:sz w:val="21"/>
                <w:szCs w:val="21"/>
                <w:lang w:val="sr-Cyrl-RS"/>
              </w:rPr>
              <w:t>рошкови сахране</w:t>
            </w:r>
          </w:p>
        </w:tc>
        <w:tc>
          <w:tcPr>
            <w:tcW w:w="1819" w:type="pct"/>
            <w:shd w:val="clear" w:color="auto" w:fill="D9E2F3" w:themeFill="accent1" w:themeFillTint="33"/>
            <w:noWrap/>
            <w:vAlign w:val="center"/>
          </w:tcPr>
          <w:p w14:paraId="78A971A4" w14:textId="278DB8FF" w:rsidR="00A267AC" w:rsidRPr="00045210" w:rsidRDefault="00B30B4D" w:rsidP="000D4109">
            <w:pPr>
              <w:spacing w:after="160" w:line="259" w:lineRule="auto"/>
              <w:jc w:val="both"/>
              <w:rPr>
                <w:rFonts w:ascii="Tahoma" w:hAnsi="Tahoma" w:cs="Tahoma"/>
                <w:sz w:val="21"/>
                <w:szCs w:val="21"/>
                <w:lang w:val="sr-Cyrl-RS"/>
              </w:rPr>
            </w:pPr>
            <w:r>
              <w:rPr>
                <w:rFonts w:ascii="Tahoma" w:hAnsi="Tahoma" w:cs="Tahoma"/>
                <w:sz w:val="21"/>
                <w:szCs w:val="21"/>
                <w:lang w:val="sr-Cyrl-RS"/>
              </w:rPr>
              <w:t xml:space="preserve">    </w:t>
            </w:r>
            <w:r w:rsidR="00F56519">
              <w:rPr>
                <w:rFonts w:ascii="Tahoma" w:hAnsi="Tahoma" w:cs="Tahoma"/>
                <w:sz w:val="21"/>
                <w:szCs w:val="21"/>
                <w:lang w:val="sr-Latn-RS"/>
              </w:rPr>
              <w:t xml:space="preserve">    </w:t>
            </w:r>
            <w:r>
              <w:rPr>
                <w:rFonts w:ascii="Tahoma" w:hAnsi="Tahoma" w:cs="Tahoma"/>
                <w:sz w:val="21"/>
                <w:szCs w:val="21"/>
                <w:lang w:val="sr-Cyrl-RS"/>
              </w:rPr>
              <w:t>667.748</w:t>
            </w:r>
          </w:p>
        </w:tc>
      </w:tr>
      <w:tr w:rsidR="00A267AC" w:rsidRPr="00045210" w14:paraId="52C1668F" w14:textId="77777777" w:rsidTr="00B30B4D">
        <w:trPr>
          <w:trHeight w:val="20"/>
        </w:trPr>
        <w:tc>
          <w:tcPr>
            <w:tcW w:w="3181" w:type="pct"/>
            <w:shd w:val="clear" w:color="auto" w:fill="B4C6E7" w:themeFill="accent1" w:themeFillTint="66"/>
            <w:noWrap/>
            <w:vAlign w:val="center"/>
          </w:tcPr>
          <w:p w14:paraId="5562B45B" w14:textId="77777777" w:rsidR="00B30B4D" w:rsidRDefault="00B30B4D" w:rsidP="00B30B4D">
            <w:pPr>
              <w:spacing w:line="259" w:lineRule="auto"/>
              <w:ind w:firstLineChars="100" w:firstLine="210"/>
              <w:jc w:val="both"/>
              <w:rPr>
                <w:rFonts w:ascii="Tahoma" w:hAnsi="Tahoma" w:cs="Tahoma"/>
                <w:color w:val="1F3864" w:themeColor="accent1" w:themeShade="80"/>
                <w:sz w:val="21"/>
                <w:szCs w:val="21"/>
                <w:lang w:val="sr-Cyrl-RS"/>
              </w:rPr>
            </w:pPr>
            <w:r w:rsidRPr="00B30B4D">
              <w:rPr>
                <w:rFonts w:ascii="Tahoma" w:hAnsi="Tahoma" w:cs="Tahoma"/>
                <w:color w:val="1F3864" w:themeColor="accent1" w:themeShade="80"/>
                <w:sz w:val="21"/>
                <w:szCs w:val="21"/>
                <w:lang w:val="sr-Cyrl-RS"/>
              </w:rPr>
              <w:t xml:space="preserve">Набавка лекова, медицинских средстава </w:t>
            </w:r>
          </w:p>
          <w:p w14:paraId="29820CDC" w14:textId="1225F633" w:rsidR="00A267AC" w:rsidRPr="000D4109" w:rsidRDefault="00B30B4D" w:rsidP="000D4109">
            <w:pPr>
              <w:spacing w:after="160" w:line="259" w:lineRule="auto"/>
              <w:ind w:firstLineChars="100" w:firstLine="210"/>
              <w:jc w:val="both"/>
              <w:rPr>
                <w:rFonts w:ascii="Tahoma" w:hAnsi="Tahoma" w:cs="Tahoma"/>
                <w:color w:val="1F3864" w:themeColor="accent1" w:themeShade="80"/>
                <w:sz w:val="21"/>
                <w:szCs w:val="21"/>
                <w:lang w:val="sr-Cyrl-RS"/>
              </w:rPr>
            </w:pPr>
            <w:r w:rsidRPr="00B30B4D">
              <w:rPr>
                <w:rFonts w:ascii="Tahoma" w:hAnsi="Tahoma" w:cs="Tahoma"/>
                <w:color w:val="1F3864" w:themeColor="accent1" w:themeShade="80"/>
                <w:sz w:val="21"/>
                <w:szCs w:val="21"/>
                <w:lang w:val="sr-Cyrl-RS"/>
              </w:rPr>
              <w:t>или помоћи у лечењу</w:t>
            </w:r>
          </w:p>
        </w:tc>
        <w:tc>
          <w:tcPr>
            <w:tcW w:w="1819" w:type="pct"/>
            <w:shd w:val="clear" w:color="auto" w:fill="B4C6E7" w:themeFill="accent1" w:themeFillTint="66"/>
            <w:noWrap/>
            <w:vAlign w:val="center"/>
          </w:tcPr>
          <w:p w14:paraId="7D341974" w14:textId="44527372" w:rsidR="00A267AC" w:rsidRPr="00045210" w:rsidRDefault="00B30B4D" w:rsidP="000D4109">
            <w:pPr>
              <w:spacing w:after="160" w:line="259" w:lineRule="auto"/>
              <w:jc w:val="both"/>
              <w:rPr>
                <w:rFonts w:ascii="Tahoma" w:hAnsi="Tahoma" w:cs="Tahoma"/>
                <w:sz w:val="21"/>
                <w:szCs w:val="21"/>
                <w:lang w:val="sr-Cyrl-RS"/>
              </w:rPr>
            </w:pPr>
            <w:r>
              <w:rPr>
                <w:rFonts w:ascii="Tahoma" w:hAnsi="Tahoma" w:cs="Tahoma"/>
                <w:sz w:val="21"/>
                <w:szCs w:val="21"/>
                <w:lang w:val="sr-Cyrl-RS"/>
              </w:rPr>
              <w:t xml:space="preserve">    </w:t>
            </w:r>
            <w:r w:rsidR="00F56519">
              <w:rPr>
                <w:rFonts w:ascii="Tahoma" w:hAnsi="Tahoma" w:cs="Tahoma"/>
                <w:sz w:val="21"/>
                <w:szCs w:val="21"/>
                <w:lang w:val="sr-Latn-RS"/>
              </w:rPr>
              <w:t xml:space="preserve">    </w:t>
            </w:r>
            <w:r>
              <w:rPr>
                <w:rFonts w:ascii="Tahoma" w:hAnsi="Tahoma" w:cs="Tahoma"/>
                <w:sz w:val="21"/>
                <w:szCs w:val="21"/>
                <w:lang w:val="sr-Cyrl-RS"/>
              </w:rPr>
              <w:t>917.183</w:t>
            </w:r>
          </w:p>
        </w:tc>
      </w:tr>
      <w:tr w:rsidR="001D1170" w:rsidRPr="00045210" w14:paraId="61D14BB6" w14:textId="77777777" w:rsidTr="001D1170">
        <w:trPr>
          <w:trHeight w:val="20"/>
        </w:trPr>
        <w:tc>
          <w:tcPr>
            <w:tcW w:w="3181" w:type="pct"/>
            <w:shd w:val="clear" w:color="auto" w:fill="2F5496" w:themeFill="accent1" w:themeFillShade="BF"/>
            <w:noWrap/>
            <w:vAlign w:val="center"/>
          </w:tcPr>
          <w:p w14:paraId="437419FF" w14:textId="7E8D0A03" w:rsidR="001D1170" w:rsidRPr="001D1170" w:rsidRDefault="001D1170" w:rsidP="001D1170">
            <w:pPr>
              <w:spacing w:after="160" w:line="259" w:lineRule="auto"/>
              <w:jc w:val="both"/>
              <w:rPr>
                <w:rFonts w:ascii="Tahoma" w:hAnsi="Tahoma" w:cs="Tahoma"/>
                <w:b/>
                <w:bCs/>
                <w:color w:val="FFFFFF" w:themeColor="background1"/>
                <w:sz w:val="21"/>
                <w:szCs w:val="21"/>
                <w:lang w:val="sr-Cyrl-RS"/>
              </w:rPr>
            </w:pPr>
            <w:r w:rsidRPr="001D1170">
              <w:rPr>
                <w:rFonts w:ascii="Tahoma" w:hAnsi="Tahoma" w:cs="Tahoma"/>
                <w:b/>
                <w:bCs/>
                <w:color w:val="FFFFFF" w:themeColor="background1"/>
                <w:sz w:val="21"/>
                <w:szCs w:val="21"/>
                <w:lang w:val="sr-Cyrl-RS"/>
              </w:rPr>
              <w:t>Народна кухиња</w:t>
            </w:r>
          </w:p>
        </w:tc>
        <w:tc>
          <w:tcPr>
            <w:tcW w:w="1819" w:type="pct"/>
            <w:shd w:val="clear" w:color="auto" w:fill="2F5496" w:themeFill="accent1" w:themeFillShade="BF"/>
            <w:noWrap/>
            <w:vAlign w:val="center"/>
          </w:tcPr>
          <w:p w14:paraId="58161285" w14:textId="4C27C206" w:rsidR="001D1170" w:rsidRPr="001D1170" w:rsidRDefault="00A14885" w:rsidP="000D4109">
            <w:pPr>
              <w:spacing w:after="160" w:line="259" w:lineRule="auto"/>
              <w:jc w:val="both"/>
              <w:rPr>
                <w:rFonts w:ascii="Tahoma" w:hAnsi="Tahoma" w:cs="Tahoma"/>
                <w:b/>
                <w:bCs/>
                <w:color w:val="FFFFFF" w:themeColor="background1"/>
                <w:sz w:val="21"/>
                <w:szCs w:val="21"/>
                <w:lang w:val="sr-Cyrl-RS"/>
              </w:rPr>
            </w:pPr>
            <w:r>
              <w:rPr>
                <w:rFonts w:ascii="Tahoma" w:hAnsi="Tahoma" w:cs="Tahoma"/>
                <w:b/>
                <w:bCs/>
                <w:color w:val="FFFFFF" w:themeColor="background1"/>
                <w:sz w:val="21"/>
                <w:szCs w:val="21"/>
                <w:lang w:val="sr-Cyrl-RS"/>
              </w:rPr>
              <w:t xml:space="preserve">  </w:t>
            </w:r>
            <w:r w:rsidR="00F56519">
              <w:rPr>
                <w:rFonts w:ascii="Tahoma" w:hAnsi="Tahoma" w:cs="Tahoma"/>
                <w:b/>
                <w:bCs/>
                <w:color w:val="FFFFFF" w:themeColor="background1"/>
                <w:sz w:val="21"/>
                <w:szCs w:val="21"/>
                <w:lang w:val="sr-Latn-RS"/>
              </w:rPr>
              <w:t xml:space="preserve">  </w:t>
            </w:r>
            <w:r w:rsidR="001D1170" w:rsidRPr="001D1170">
              <w:rPr>
                <w:rFonts w:ascii="Tahoma" w:hAnsi="Tahoma" w:cs="Tahoma"/>
                <w:b/>
                <w:bCs/>
                <w:color w:val="FFFFFF" w:themeColor="background1"/>
                <w:sz w:val="21"/>
                <w:szCs w:val="21"/>
                <w:lang w:val="sr-Cyrl-RS"/>
              </w:rPr>
              <w:t>1</w:t>
            </w:r>
            <w:r w:rsidR="001D1170">
              <w:rPr>
                <w:rFonts w:ascii="Tahoma" w:hAnsi="Tahoma" w:cs="Tahoma"/>
                <w:b/>
                <w:bCs/>
                <w:color w:val="FFFFFF" w:themeColor="background1"/>
                <w:sz w:val="21"/>
                <w:szCs w:val="21"/>
                <w:lang w:val="sr-Cyrl-RS"/>
              </w:rPr>
              <w:t>.</w:t>
            </w:r>
            <w:r w:rsidR="001D1170" w:rsidRPr="001D1170">
              <w:rPr>
                <w:rFonts w:ascii="Tahoma" w:hAnsi="Tahoma" w:cs="Tahoma"/>
                <w:b/>
                <w:bCs/>
                <w:color w:val="FFFFFF" w:themeColor="background1"/>
                <w:sz w:val="21"/>
                <w:szCs w:val="21"/>
                <w:lang w:val="sr-Cyrl-RS"/>
              </w:rPr>
              <w:t>618</w:t>
            </w:r>
            <w:r w:rsidR="001D1170">
              <w:rPr>
                <w:rFonts w:ascii="Tahoma" w:hAnsi="Tahoma" w:cs="Tahoma"/>
                <w:b/>
                <w:bCs/>
                <w:color w:val="FFFFFF" w:themeColor="background1"/>
                <w:sz w:val="21"/>
                <w:szCs w:val="21"/>
                <w:lang w:val="sr-Cyrl-RS"/>
              </w:rPr>
              <w:t>.</w:t>
            </w:r>
            <w:r w:rsidR="001D1170" w:rsidRPr="001D1170">
              <w:rPr>
                <w:rFonts w:ascii="Tahoma" w:hAnsi="Tahoma" w:cs="Tahoma"/>
                <w:b/>
                <w:bCs/>
                <w:color w:val="FFFFFF" w:themeColor="background1"/>
                <w:sz w:val="21"/>
                <w:szCs w:val="21"/>
                <w:lang w:val="sr-Cyrl-RS"/>
              </w:rPr>
              <w:t>273</w:t>
            </w:r>
          </w:p>
        </w:tc>
      </w:tr>
    </w:tbl>
    <w:p w14:paraId="5C33DB77" w14:textId="77777777" w:rsidR="000626C8" w:rsidRPr="00FF4AAE" w:rsidRDefault="000626C8" w:rsidP="007327A7">
      <w:pPr>
        <w:spacing w:after="160" w:line="259" w:lineRule="auto"/>
        <w:jc w:val="both"/>
        <w:rPr>
          <w:rFonts w:ascii="Tahoma" w:hAnsi="Tahoma" w:cs="Tahoma"/>
          <w:bCs/>
          <w:iCs/>
          <w:sz w:val="18"/>
          <w:szCs w:val="18"/>
          <w:lang w:val="sr-Cyrl-RS"/>
        </w:rPr>
      </w:pPr>
      <w:r w:rsidRPr="00FF4AAE">
        <w:rPr>
          <w:rFonts w:ascii="Tahoma" w:hAnsi="Tahoma" w:cs="Tahoma"/>
          <w:bCs/>
          <w:iCs/>
          <w:sz w:val="18"/>
          <w:szCs w:val="18"/>
          <w:lang w:val="sr-Cyrl-RS"/>
        </w:rPr>
        <w:t xml:space="preserve">Извор: </w:t>
      </w:r>
      <w:r>
        <w:rPr>
          <w:rFonts w:ascii="Tahoma" w:hAnsi="Tahoma" w:cs="Tahoma"/>
          <w:bCs/>
          <w:iCs/>
          <w:sz w:val="18"/>
          <w:szCs w:val="18"/>
          <w:lang w:val="sr-Cyrl-RS"/>
        </w:rPr>
        <w:t>„</w:t>
      </w:r>
      <w:r w:rsidRPr="00FF4AAE">
        <w:rPr>
          <w:rFonts w:ascii="Tahoma" w:hAnsi="Tahoma" w:cs="Tahoma"/>
          <w:bCs/>
          <w:i/>
          <w:sz w:val="18"/>
          <w:szCs w:val="18"/>
          <w:lang w:val="sr-Cyrl-RS"/>
        </w:rPr>
        <w:t>Мапирање услуга социјалне заштите и материјалне подршке у надлежности ЈЛС у Републици Србији</w:t>
      </w:r>
      <w:r>
        <w:rPr>
          <w:rFonts w:ascii="Tahoma" w:hAnsi="Tahoma" w:cs="Tahoma"/>
          <w:bCs/>
          <w:iCs/>
          <w:sz w:val="18"/>
          <w:szCs w:val="18"/>
          <w:lang w:val="sr-Cyrl-RS"/>
        </w:rPr>
        <w:t>“,</w:t>
      </w:r>
      <w:r w:rsidRPr="00FF4AAE">
        <w:t xml:space="preserve"> </w:t>
      </w:r>
      <w:r w:rsidRPr="00FF4AAE">
        <w:rPr>
          <w:rFonts w:ascii="Tahoma" w:hAnsi="Tahoma" w:cs="Tahoma"/>
          <w:bCs/>
          <w:iCs/>
          <w:sz w:val="18"/>
          <w:szCs w:val="18"/>
          <w:lang w:val="sr-Cyrl-RS"/>
        </w:rPr>
        <w:t>Тим за социјално укључивање и смањење сиромаштва Владе Републике Србије</w:t>
      </w:r>
      <w:r>
        <w:rPr>
          <w:rFonts w:ascii="Tahoma" w:hAnsi="Tahoma" w:cs="Tahoma"/>
          <w:bCs/>
          <w:iCs/>
          <w:sz w:val="18"/>
          <w:szCs w:val="18"/>
          <w:lang w:val="sr-Cyrl-RS"/>
        </w:rPr>
        <w:t xml:space="preserve">. </w:t>
      </w:r>
      <w:r w:rsidRPr="00FF4AAE">
        <w:rPr>
          <w:rFonts w:ascii="Tahoma" w:hAnsi="Tahoma" w:cs="Tahoma"/>
          <w:bCs/>
          <w:iCs/>
          <w:sz w:val="18"/>
          <w:szCs w:val="18"/>
          <w:lang w:val="sr-Cyrl-RS"/>
        </w:rPr>
        <w:t xml:space="preserve"> </w:t>
      </w:r>
    </w:p>
    <w:p w14:paraId="0616DABA" w14:textId="31D94A5D" w:rsidR="00120789" w:rsidRPr="0001364C" w:rsidRDefault="00120789" w:rsidP="007327A7">
      <w:pPr>
        <w:shd w:val="clear" w:color="auto" w:fill="D9E2F3" w:themeFill="accent1" w:themeFillTint="33"/>
        <w:spacing w:after="160" w:line="259" w:lineRule="auto"/>
        <w:jc w:val="both"/>
        <w:rPr>
          <w:rFonts w:ascii="Tahoma" w:hAnsi="Tahoma" w:cs="Tahoma"/>
          <w:b/>
          <w:color w:val="1F3864" w:themeColor="accent1" w:themeShade="80"/>
          <w:sz w:val="22"/>
          <w:szCs w:val="22"/>
          <w:lang w:val="sr-Cyrl-RS"/>
        </w:rPr>
      </w:pPr>
      <w:r w:rsidRPr="0001364C">
        <w:rPr>
          <w:rFonts w:ascii="Tahoma" w:hAnsi="Tahoma" w:cs="Tahoma"/>
          <w:b/>
          <w:color w:val="1F3864" w:themeColor="accent1" w:themeShade="80"/>
          <w:sz w:val="22"/>
          <w:szCs w:val="22"/>
          <w:lang w:val="sr-Cyrl-RS"/>
        </w:rPr>
        <w:t>Б</w:t>
      </w:r>
      <w:r w:rsidR="000626C8" w:rsidRPr="0001364C">
        <w:rPr>
          <w:rFonts w:ascii="Tahoma" w:hAnsi="Tahoma" w:cs="Tahoma"/>
          <w:b/>
          <w:color w:val="1F3864" w:themeColor="accent1" w:themeShade="80"/>
          <w:sz w:val="22"/>
          <w:szCs w:val="22"/>
          <w:lang w:val="sr-Cyrl-RS"/>
        </w:rPr>
        <w:t xml:space="preserve">окс </w:t>
      </w:r>
      <w:r w:rsidR="00E07F73">
        <w:rPr>
          <w:rFonts w:ascii="Tahoma" w:hAnsi="Tahoma" w:cs="Tahoma"/>
          <w:b/>
          <w:color w:val="1F3864" w:themeColor="accent1" w:themeShade="80"/>
          <w:sz w:val="22"/>
          <w:szCs w:val="22"/>
          <w:lang w:val="sr-Latn-RS"/>
        </w:rPr>
        <w:t>6</w:t>
      </w:r>
      <w:r w:rsidRPr="0001364C">
        <w:rPr>
          <w:rFonts w:ascii="Tahoma" w:hAnsi="Tahoma" w:cs="Tahoma"/>
          <w:b/>
          <w:color w:val="1F3864" w:themeColor="accent1" w:themeShade="80"/>
          <w:sz w:val="22"/>
          <w:szCs w:val="22"/>
          <w:lang w:val="sr-Cyrl-RS"/>
        </w:rPr>
        <w:t>. В</w:t>
      </w:r>
      <w:r w:rsidR="000626C8" w:rsidRPr="0001364C">
        <w:rPr>
          <w:rFonts w:ascii="Tahoma" w:hAnsi="Tahoma" w:cs="Tahoma"/>
          <w:b/>
          <w:color w:val="1F3864" w:themeColor="accent1" w:themeShade="80"/>
          <w:sz w:val="22"/>
          <w:szCs w:val="22"/>
          <w:lang w:val="sr-Cyrl-RS"/>
        </w:rPr>
        <w:t xml:space="preserve">еличина програма и обухват </w:t>
      </w:r>
      <w:r w:rsidRPr="0001364C">
        <w:rPr>
          <w:rFonts w:ascii="Tahoma" w:hAnsi="Tahoma" w:cs="Tahoma"/>
          <w:b/>
          <w:color w:val="1F3864" w:themeColor="accent1" w:themeShade="80"/>
          <w:sz w:val="22"/>
          <w:szCs w:val="22"/>
          <w:lang w:val="sr-Cyrl-RS"/>
        </w:rPr>
        <w:t xml:space="preserve"> </w:t>
      </w:r>
    </w:p>
    <w:p w14:paraId="35D1BA1C" w14:textId="6C211FBE" w:rsidR="00120789" w:rsidRPr="000626C8" w:rsidRDefault="00120789" w:rsidP="007327A7">
      <w:pPr>
        <w:shd w:val="clear" w:color="auto" w:fill="D9E2F3" w:themeFill="accent1" w:themeFillTint="33"/>
        <w:spacing w:after="160" w:line="259" w:lineRule="auto"/>
        <w:jc w:val="both"/>
        <w:rPr>
          <w:rFonts w:ascii="Tahoma" w:hAnsi="Tahoma" w:cs="Tahoma"/>
          <w:sz w:val="22"/>
          <w:szCs w:val="22"/>
          <w:lang w:val="sr-Cyrl-RS"/>
        </w:rPr>
      </w:pPr>
      <w:r w:rsidRPr="000626C8">
        <w:rPr>
          <w:rFonts w:ascii="Tahoma" w:hAnsi="Tahoma" w:cs="Tahoma"/>
          <w:sz w:val="22"/>
          <w:szCs w:val="22"/>
          <w:lang w:val="sr-Cyrl-RS"/>
        </w:rPr>
        <w:t>Праћење фактичког броја корисника различитих врста материјалне подршке на локалном нивоу не обезбеђује адекватне информације, пошто није у питању основно право које се додељује у свим ЈЛС по једнаким критеријумима. У зависности од локалне политике и тренутних околности, поједине ЈЛС могу да додељују велике износе материјалне подршке малом броју корисника, а поједине веома мале, безначајне суме великом броју угрожених. Да би се обезбедила упоредивост, потребно је да се израчуна колико би свака ЈЛС имала корисника у хипотетичкој ситуацији када би сваки корисник на годишњем нивоу добио једнаку суму помоћи у висини једне нето просечне зараде. Тај еквивалентни (хипотетички) број корисника је индикатор величине програма у појединим општинама и градовима:</w:t>
      </w:r>
    </w:p>
    <w:p w14:paraId="49DD81EA" w14:textId="64F58EFC" w:rsidR="00120789" w:rsidRPr="0024018E" w:rsidRDefault="0024018E" w:rsidP="0024018E">
      <w:pPr>
        <w:pStyle w:val="ListParagraph"/>
        <w:numPr>
          <w:ilvl w:val="0"/>
          <w:numId w:val="12"/>
        </w:numPr>
        <w:shd w:val="clear" w:color="auto" w:fill="D9E2F3" w:themeFill="accent1" w:themeFillTint="33"/>
        <w:spacing w:after="160" w:line="259" w:lineRule="auto"/>
        <w:ind w:left="0" w:firstLine="0"/>
        <w:contextualSpacing w:val="0"/>
        <w:jc w:val="both"/>
        <w:rPr>
          <w:rFonts w:ascii="Tahoma" w:hAnsi="Tahoma" w:cs="Tahoma"/>
          <w:color w:val="000000" w:themeColor="text1"/>
          <w:sz w:val="22"/>
          <w:szCs w:val="22"/>
          <w:lang w:val="sr-Cyrl-RS"/>
        </w:rPr>
      </w:pPr>
      <w:r w:rsidRPr="00C34BE6">
        <w:rPr>
          <w:rFonts w:ascii="Tahoma" w:hAnsi="Tahoma" w:cs="Tahoma"/>
          <w:color w:val="000000" w:themeColor="text1"/>
          <w:sz w:val="22"/>
          <w:szCs w:val="22"/>
          <w:lang w:val="sr-Cyrl-RS"/>
        </w:rPr>
        <w:t>ЕКПЗ =</w:t>
      </w:r>
      <w:r>
        <w:rPr>
          <w:rFonts w:ascii="Tahoma" w:hAnsi="Tahoma" w:cs="Tahoma"/>
          <w:color w:val="000000" w:themeColor="text1"/>
          <w:sz w:val="22"/>
          <w:szCs w:val="22"/>
          <w:lang w:val="sr-Cyrl-RS"/>
        </w:rPr>
        <w:t xml:space="preserve"> </w:t>
      </w:r>
      <w:r w:rsidRPr="00C34BE6">
        <w:rPr>
          <w:rFonts w:ascii="Tahoma" w:hAnsi="Tahoma" w:cs="Tahoma"/>
          <w:color w:val="000000" w:themeColor="text1"/>
          <w:sz w:val="22"/>
          <w:szCs w:val="22"/>
          <w:lang w:val="sr-Cyrl-RS"/>
        </w:rPr>
        <w:t>укупна годишња сума давања у датој ЈЛС/ПЗ</w:t>
      </w:r>
    </w:p>
    <w:p w14:paraId="51CDBB42" w14:textId="54DA260E" w:rsidR="00120789" w:rsidRPr="000626C8" w:rsidRDefault="00120789" w:rsidP="007327A7">
      <w:pPr>
        <w:pStyle w:val="ListParagraph"/>
        <w:numPr>
          <w:ilvl w:val="0"/>
          <w:numId w:val="12"/>
        </w:numPr>
        <w:shd w:val="clear" w:color="auto" w:fill="D9E2F3" w:themeFill="accent1" w:themeFillTint="33"/>
        <w:spacing w:after="160" w:line="259" w:lineRule="auto"/>
        <w:ind w:left="0" w:firstLine="0"/>
        <w:contextualSpacing w:val="0"/>
        <w:jc w:val="both"/>
        <w:rPr>
          <w:rFonts w:ascii="Tahoma" w:hAnsi="Tahoma" w:cs="Tahoma"/>
          <w:color w:val="000000" w:themeColor="text1"/>
          <w:sz w:val="22"/>
          <w:szCs w:val="22"/>
          <w:lang w:val="sr-Cyrl-RS"/>
        </w:rPr>
      </w:pPr>
      <w:r w:rsidRPr="000626C8">
        <w:rPr>
          <w:rFonts w:ascii="Tahoma" w:hAnsi="Tahoma" w:cs="Tahoma"/>
          <w:color w:val="000000" w:themeColor="text1"/>
          <w:sz w:val="22"/>
          <w:szCs w:val="22"/>
          <w:lang w:val="sr-Cyrl-RS"/>
        </w:rPr>
        <w:t>ЕKПЗ – еквивалентан (хипотетички) број корисника помоћи у висини једне нето просечне зараде</w:t>
      </w:r>
    </w:p>
    <w:p w14:paraId="76A32D9E" w14:textId="73A9D195" w:rsidR="00120789" w:rsidRPr="000626C8" w:rsidRDefault="00120789" w:rsidP="007327A7">
      <w:pPr>
        <w:pStyle w:val="ListParagraph"/>
        <w:numPr>
          <w:ilvl w:val="0"/>
          <w:numId w:val="12"/>
        </w:numPr>
        <w:shd w:val="clear" w:color="auto" w:fill="D9E2F3" w:themeFill="accent1" w:themeFillTint="33"/>
        <w:spacing w:after="160" w:line="259" w:lineRule="auto"/>
        <w:ind w:left="0" w:firstLine="0"/>
        <w:contextualSpacing w:val="0"/>
        <w:jc w:val="both"/>
        <w:rPr>
          <w:rFonts w:ascii="Tahoma" w:hAnsi="Tahoma" w:cs="Tahoma"/>
          <w:color w:val="000000" w:themeColor="text1"/>
          <w:sz w:val="22"/>
          <w:szCs w:val="22"/>
          <w:lang w:val="sr-Cyrl-RS"/>
        </w:rPr>
      </w:pPr>
      <w:r w:rsidRPr="000626C8">
        <w:rPr>
          <w:rFonts w:ascii="Tahoma" w:hAnsi="Tahoma" w:cs="Tahoma"/>
          <w:color w:val="000000" w:themeColor="text1"/>
          <w:sz w:val="22"/>
          <w:szCs w:val="22"/>
          <w:lang w:val="sr-Cyrl-RS"/>
        </w:rPr>
        <w:t xml:space="preserve">ПЗ – просечна месечна зарада по запосленом без пореза и доприноса у РС </w:t>
      </w:r>
    </w:p>
    <w:p w14:paraId="596D7402" w14:textId="0F032EF4" w:rsidR="00120789" w:rsidRDefault="00120789" w:rsidP="007327A7">
      <w:pPr>
        <w:pStyle w:val="ListParagraph"/>
        <w:numPr>
          <w:ilvl w:val="0"/>
          <w:numId w:val="12"/>
        </w:numPr>
        <w:shd w:val="clear" w:color="auto" w:fill="D9E2F3" w:themeFill="accent1" w:themeFillTint="33"/>
        <w:spacing w:after="160" w:line="259" w:lineRule="auto"/>
        <w:ind w:left="0" w:firstLine="0"/>
        <w:contextualSpacing w:val="0"/>
        <w:jc w:val="both"/>
        <w:rPr>
          <w:rFonts w:ascii="Tahoma" w:hAnsi="Tahoma" w:cs="Tahoma"/>
          <w:sz w:val="22"/>
          <w:szCs w:val="22"/>
          <w:lang w:val="sr-Cyrl-RS"/>
        </w:rPr>
      </w:pPr>
      <w:r w:rsidRPr="000626C8">
        <w:rPr>
          <w:rFonts w:ascii="Tahoma" w:hAnsi="Tahoma" w:cs="Tahoma"/>
          <w:color w:val="000000" w:themeColor="text1"/>
          <w:sz w:val="22"/>
          <w:szCs w:val="22"/>
          <w:lang w:val="sr-Cyrl-RS"/>
        </w:rPr>
        <w:lastRenderedPageBreak/>
        <w:t>Обухват, хипотетичка општа стопа обухвата,</w:t>
      </w:r>
      <w:r w:rsidR="00C17C75" w:rsidRPr="000626C8">
        <w:rPr>
          <w:rFonts w:ascii="Tahoma" w:hAnsi="Tahoma" w:cs="Tahoma"/>
          <w:color w:val="000000" w:themeColor="text1"/>
          <w:sz w:val="22"/>
          <w:szCs w:val="22"/>
          <w:lang w:val="sr-Cyrl-RS"/>
        </w:rPr>
        <w:t xml:space="preserve"> </w:t>
      </w:r>
      <w:r w:rsidRPr="000626C8">
        <w:rPr>
          <w:rFonts w:ascii="Tahoma" w:hAnsi="Tahoma" w:cs="Tahoma"/>
          <w:color w:val="000000" w:themeColor="text1"/>
          <w:sz w:val="22"/>
          <w:szCs w:val="22"/>
          <w:lang w:val="sr-Cyrl-RS"/>
        </w:rPr>
        <w:t>као индикатор учинка представља однос између</w:t>
      </w:r>
      <w:r w:rsidRPr="000626C8">
        <w:rPr>
          <w:rFonts w:ascii="Tahoma" w:hAnsi="Tahoma" w:cs="Tahoma"/>
          <w:sz w:val="22"/>
          <w:szCs w:val="22"/>
          <w:lang w:val="sr-Cyrl-RS"/>
        </w:rPr>
        <w:t xml:space="preserve"> ЕKПЗ и укупног броја домаћинстава у датој ЈЛС.</w:t>
      </w:r>
    </w:p>
    <w:p w14:paraId="082CF2C7" w14:textId="77777777" w:rsidR="000626C8" w:rsidRPr="000626C8" w:rsidRDefault="000626C8" w:rsidP="007327A7">
      <w:pPr>
        <w:shd w:val="clear" w:color="auto" w:fill="D9E2F3" w:themeFill="accent1" w:themeFillTint="33"/>
        <w:spacing w:after="160" w:line="259" w:lineRule="auto"/>
        <w:jc w:val="both"/>
        <w:rPr>
          <w:rFonts w:ascii="Tahoma" w:hAnsi="Tahoma" w:cs="Tahoma"/>
          <w:sz w:val="10"/>
          <w:szCs w:val="10"/>
          <w:lang w:val="sr-Cyrl-RS"/>
        </w:rPr>
      </w:pPr>
    </w:p>
    <w:p w14:paraId="24CBD1AB" w14:textId="77777777" w:rsidR="005A1B51" w:rsidRPr="000626C8" w:rsidRDefault="005A1B51" w:rsidP="007327A7">
      <w:pPr>
        <w:spacing w:after="160" w:line="259" w:lineRule="auto"/>
        <w:jc w:val="both"/>
        <w:rPr>
          <w:rFonts w:ascii="Tahoma" w:hAnsi="Tahoma" w:cs="Tahoma"/>
          <w:sz w:val="10"/>
          <w:szCs w:val="10"/>
          <w:lang w:val="sr-Cyrl-RS"/>
        </w:rPr>
      </w:pPr>
    </w:p>
    <w:p w14:paraId="1525926F" w14:textId="23EF1D0D" w:rsidR="00450489" w:rsidRPr="000314C8" w:rsidRDefault="00D62F1D" w:rsidP="007327A7">
      <w:pPr>
        <w:spacing w:after="160" w:line="259" w:lineRule="auto"/>
        <w:jc w:val="both"/>
        <w:rPr>
          <w:rFonts w:ascii="Tahoma" w:hAnsi="Tahoma" w:cs="Tahoma"/>
          <w:color w:val="FF0000"/>
          <w:sz w:val="22"/>
          <w:szCs w:val="22"/>
          <w:lang w:val="sr-Cyrl-RS"/>
        </w:rPr>
      </w:pPr>
      <w:r w:rsidRPr="00214FB6">
        <w:rPr>
          <w:rFonts w:ascii="Tahoma" w:hAnsi="Tahoma" w:cs="Tahoma"/>
          <w:color w:val="000000" w:themeColor="text1"/>
          <w:sz w:val="22"/>
          <w:szCs w:val="22"/>
          <w:lang w:val="sr-Cyrl-RS"/>
        </w:rPr>
        <w:t xml:space="preserve">Хипотетичка општа стопа обухвата материјалном подршком у </w:t>
      </w:r>
      <w:r w:rsidR="00B548DF">
        <w:rPr>
          <w:rFonts w:ascii="Tahoma" w:hAnsi="Tahoma" w:cs="Tahoma"/>
          <w:color w:val="000000" w:themeColor="text1"/>
          <w:sz w:val="22"/>
          <w:szCs w:val="22"/>
          <w:lang w:val="sr-Cyrl-RS"/>
        </w:rPr>
        <w:t xml:space="preserve">Смедеревској Паланци </w:t>
      </w:r>
      <w:r w:rsidRPr="00214FB6">
        <w:rPr>
          <w:rFonts w:ascii="Tahoma" w:hAnsi="Tahoma" w:cs="Tahoma"/>
          <w:color w:val="000000" w:themeColor="text1"/>
          <w:sz w:val="22"/>
          <w:szCs w:val="22"/>
          <w:lang w:val="sr-Cyrl-RS"/>
        </w:rPr>
        <w:t xml:space="preserve">је износила </w:t>
      </w:r>
      <w:r w:rsidR="00B548DF">
        <w:rPr>
          <w:rFonts w:ascii="Tahoma" w:hAnsi="Tahoma" w:cs="Tahoma"/>
          <w:color w:val="000000" w:themeColor="text1"/>
          <w:sz w:val="22"/>
          <w:szCs w:val="22"/>
          <w:lang w:val="sr-Cyrl-RS"/>
        </w:rPr>
        <w:t>1</w:t>
      </w:r>
      <w:r w:rsidRPr="00214FB6">
        <w:rPr>
          <w:rFonts w:ascii="Tahoma" w:hAnsi="Tahoma" w:cs="Tahoma"/>
          <w:color w:val="000000" w:themeColor="text1"/>
          <w:sz w:val="22"/>
          <w:szCs w:val="22"/>
          <w:lang w:val="sr-Cyrl-RS"/>
        </w:rPr>
        <w:t>,</w:t>
      </w:r>
      <w:r w:rsidR="00B548DF">
        <w:rPr>
          <w:rFonts w:ascii="Tahoma" w:hAnsi="Tahoma" w:cs="Tahoma"/>
          <w:color w:val="000000" w:themeColor="text1"/>
          <w:sz w:val="22"/>
          <w:szCs w:val="22"/>
          <w:lang w:val="sr-Cyrl-RS"/>
        </w:rPr>
        <w:t>2</w:t>
      </w:r>
      <w:r w:rsidRPr="00214FB6">
        <w:rPr>
          <w:rFonts w:ascii="Tahoma" w:hAnsi="Tahoma" w:cs="Tahoma"/>
          <w:color w:val="000000" w:themeColor="text1"/>
          <w:sz w:val="22"/>
          <w:szCs w:val="22"/>
          <w:lang w:val="sr-Cyrl-RS"/>
        </w:rPr>
        <w:t xml:space="preserve">% 2018. године и </w:t>
      </w:r>
      <w:r w:rsidR="00B548DF">
        <w:rPr>
          <w:rFonts w:ascii="Tahoma" w:hAnsi="Tahoma" w:cs="Tahoma"/>
          <w:color w:val="000000" w:themeColor="text1"/>
          <w:sz w:val="22"/>
          <w:szCs w:val="22"/>
          <w:lang w:val="sr-Cyrl-RS"/>
        </w:rPr>
        <w:t>знатно</w:t>
      </w:r>
      <w:r w:rsidR="00FF33AD">
        <w:rPr>
          <w:rFonts w:ascii="Tahoma" w:hAnsi="Tahoma" w:cs="Tahoma"/>
          <w:color w:val="000000" w:themeColor="text1"/>
          <w:sz w:val="22"/>
          <w:szCs w:val="22"/>
          <w:lang w:val="sr-Cyrl-RS"/>
        </w:rPr>
        <w:t xml:space="preserve"> је</w:t>
      </w:r>
      <w:r w:rsidR="00B548DF">
        <w:rPr>
          <w:rFonts w:ascii="Tahoma" w:hAnsi="Tahoma" w:cs="Tahoma"/>
          <w:color w:val="000000" w:themeColor="text1"/>
          <w:sz w:val="22"/>
          <w:szCs w:val="22"/>
          <w:lang w:val="sr-Cyrl-RS"/>
        </w:rPr>
        <w:t xml:space="preserve"> испод вредности </w:t>
      </w:r>
      <w:r w:rsidRPr="00214FB6">
        <w:rPr>
          <w:rFonts w:ascii="Tahoma" w:hAnsi="Tahoma" w:cs="Tahoma"/>
          <w:color w:val="000000" w:themeColor="text1"/>
          <w:sz w:val="22"/>
          <w:szCs w:val="22"/>
          <w:lang w:val="sr-Cyrl-RS"/>
        </w:rPr>
        <w:t xml:space="preserve">непондерисаног просека за </w:t>
      </w:r>
      <w:r w:rsidR="00214FB6" w:rsidRPr="00214FB6">
        <w:rPr>
          <w:rFonts w:ascii="Tahoma" w:hAnsi="Tahoma" w:cs="Tahoma"/>
          <w:color w:val="000000" w:themeColor="text1"/>
          <w:sz w:val="22"/>
          <w:szCs w:val="22"/>
          <w:lang w:val="sr-Cyrl-RS"/>
        </w:rPr>
        <w:t xml:space="preserve">подручје </w:t>
      </w:r>
      <w:r w:rsidRPr="00214FB6">
        <w:rPr>
          <w:rFonts w:ascii="Tahoma" w:hAnsi="Tahoma" w:cs="Tahoma"/>
          <w:color w:val="000000" w:themeColor="text1"/>
          <w:sz w:val="22"/>
          <w:szCs w:val="22"/>
          <w:lang w:val="sr-Cyrl-RS"/>
        </w:rPr>
        <w:t>Србиј</w:t>
      </w:r>
      <w:r w:rsidR="00214FB6" w:rsidRPr="00214FB6">
        <w:rPr>
          <w:rFonts w:ascii="Tahoma" w:hAnsi="Tahoma" w:cs="Tahoma"/>
          <w:color w:val="000000" w:themeColor="text1"/>
          <w:sz w:val="22"/>
          <w:szCs w:val="22"/>
          <w:lang w:val="sr-Cyrl-RS"/>
        </w:rPr>
        <w:t>а-југ</w:t>
      </w:r>
      <w:r w:rsidRPr="00214FB6">
        <w:rPr>
          <w:rFonts w:ascii="Tahoma" w:hAnsi="Tahoma" w:cs="Tahoma"/>
          <w:color w:val="000000" w:themeColor="text1"/>
          <w:sz w:val="22"/>
          <w:szCs w:val="22"/>
          <w:lang w:val="sr-Cyrl-RS"/>
        </w:rPr>
        <w:t xml:space="preserve"> (</w:t>
      </w:r>
      <w:r w:rsidR="009F6DB9">
        <w:rPr>
          <w:rFonts w:ascii="Tahoma" w:hAnsi="Tahoma" w:cs="Tahoma"/>
          <w:color w:val="000000" w:themeColor="text1"/>
          <w:sz w:val="22"/>
          <w:szCs w:val="22"/>
          <w:lang w:val="sr-Cyrl-RS"/>
        </w:rPr>
        <w:t>5</w:t>
      </w:r>
      <w:r w:rsidRPr="00214FB6">
        <w:rPr>
          <w:rFonts w:ascii="Tahoma" w:hAnsi="Tahoma" w:cs="Tahoma"/>
          <w:color w:val="000000" w:themeColor="text1"/>
          <w:sz w:val="22"/>
          <w:szCs w:val="22"/>
          <w:lang w:val="sr-Cyrl-RS"/>
        </w:rPr>
        <w:t>,</w:t>
      </w:r>
      <w:r w:rsidR="009F6DB9">
        <w:rPr>
          <w:rFonts w:ascii="Tahoma" w:hAnsi="Tahoma" w:cs="Tahoma"/>
          <w:color w:val="000000" w:themeColor="text1"/>
          <w:sz w:val="22"/>
          <w:szCs w:val="22"/>
          <w:lang w:val="sr-Cyrl-RS"/>
        </w:rPr>
        <w:t>3</w:t>
      </w:r>
      <w:r w:rsidRPr="00214FB6">
        <w:rPr>
          <w:rFonts w:ascii="Tahoma" w:hAnsi="Tahoma" w:cs="Tahoma"/>
          <w:color w:val="000000" w:themeColor="text1"/>
          <w:sz w:val="22"/>
          <w:szCs w:val="22"/>
          <w:lang w:val="sr-Cyrl-RS"/>
        </w:rPr>
        <w:t xml:space="preserve">%). </w:t>
      </w:r>
      <w:r w:rsidR="000907B9">
        <w:rPr>
          <w:rFonts w:ascii="Tahoma" w:hAnsi="Tahoma" w:cs="Tahoma"/>
          <w:color w:val="000000" w:themeColor="text1"/>
          <w:sz w:val="22"/>
          <w:szCs w:val="22"/>
          <w:lang w:val="sr-Cyrl-RS"/>
        </w:rPr>
        <w:t>П</w:t>
      </w:r>
      <w:r w:rsidRPr="00214FB6">
        <w:rPr>
          <w:rFonts w:ascii="Tahoma" w:hAnsi="Tahoma" w:cs="Tahoma"/>
          <w:color w:val="000000" w:themeColor="text1"/>
          <w:sz w:val="22"/>
          <w:szCs w:val="22"/>
          <w:lang w:val="sr-Cyrl-RS"/>
        </w:rPr>
        <w:t xml:space="preserve">рема овом индикатору ранг </w:t>
      </w:r>
      <w:r w:rsidR="00CC7BCE">
        <w:rPr>
          <w:rFonts w:ascii="Tahoma" w:hAnsi="Tahoma" w:cs="Tahoma"/>
          <w:color w:val="000000" w:themeColor="text1"/>
          <w:sz w:val="22"/>
          <w:szCs w:val="22"/>
          <w:lang w:val="sr-Cyrl-RS"/>
        </w:rPr>
        <w:t xml:space="preserve">ЈЛС </w:t>
      </w:r>
      <w:r w:rsidRPr="00214FB6">
        <w:rPr>
          <w:rFonts w:ascii="Tahoma" w:hAnsi="Tahoma" w:cs="Tahoma"/>
          <w:color w:val="000000" w:themeColor="text1"/>
          <w:sz w:val="22"/>
          <w:szCs w:val="22"/>
          <w:lang w:val="sr-Cyrl-RS"/>
        </w:rPr>
        <w:t xml:space="preserve">је </w:t>
      </w:r>
      <w:r w:rsidR="00B548DF">
        <w:rPr>
          <w:rFonts w:ascii="Tahoma" w:hAnsi="Tahoma" w:cs="Tahoma"/>
          <w:color w:val="000000" w:themeColor="text1"/>
          <w:sz w:val="22"/>
          <w:szCs w:val="22"/>
          <w:lang w:val="sr-Cyrl-RS"/>
        </w:rPr>
        <w:t>11</w:t>
      </w:r>
      <w:r w:rsidRPr="00214FB6">
        <w:rPr>
          <w:rFonts w:ascii="Tahoma" w:hAnsi="Tahoma" w:cs="Tahoma"/>
          <w:color w:val="000000" w:themeColor="text1"/>
          <w:sz w:val="22"/>
          <w:szCs w:val="22"/>
          <w:lang w:val="sr-Cyrl-RS"/>
        </w:rPr>
        <w:t>.</w:t>
      </w:r>
    </w:p>
    <w:p w14:paraId="1504B24A" w14:textId="200E91A3" w:rsidR="00D62F1D" w:rsidRPr="006F4FA7" w:rsidRDefault="00D62F1D" w:rsidP="007327A7">
      <w:pPr>
        <w:pStyle w:val="Heading3"/>
        <w:spacing w:before="0" w:after="160" w:line="259" w:lineRule="auto"/>
        <w:jc w:val="both"/>
        <w:rPr>
          <w:rFonts w:ascii="Tahoma" w:hAnsi="Tahoma" w:cs="Tahoma"/>
          <w:b/>
          <w:bCs/>
          <w:color w:val="2F5496" w:themeColor="accent1" w:themeShade="BF"/>
          <w:lang w:val="sr-Cyrl-RS"/>
        </w:rPr>
      </w:pPr>
      <w:r w:rsidRPr="006F4FA7">
        <w:rPr>
          <w:rFonts w:ascii="Tahoma" w:hAnsi="Tahoma" w:cs="Tahoma"/>
          <w:b/>
          <w:bCs/>
          <w:color w:val="2F5496" w:themeColor="accent1" w:themeShade="BF"/>
          <w:lang w:val="sr-Cyrl-RS"/>
        </w:rPr>
        <w:t>Социјална заштита на локалном нивоу</w:t>
      </w:r>
      <w:r w:rsidR="00750BCF" w:rsidRPr="006F4FA7">
        <w:rPr>
          <w:rFonts w:ascii="Tahoma" w:hAnsi="Tahoma" w:cs="Tahoma"/>
          <w:b/>
          <w:bCs/>
          <w:color w:val="2F5496" w:themeColor="accent1" w:themeShade="BF"/>
          <w:lang w:val="sr-Cyrl-RS"/>
        </w:rPr>
        <w:t>:</w:t>
      </w:r>
      <w:r w:rsidRPr="006F4FA7">
        <w:rPr>
          <w:rFonts w:ascii="Tahoma" w:hAnsi="Tahoma" w:cs="Tahoma"/>
          <w:b/>
          <w:bCs/>
          <w:color w:val="2F5496" w:themeColor="accent1" w:themeShade="BF"/>
          <w:lang w:val="sr-Cyrl-RS"/>
        </w:rPr>
        <w:t xml:space="preserve"> резиме и препоруке</w:t>
      </w:r>
    </w:p>
    <w:p w14:paraId="08C9840F" w14:textId="1CF4E770" w:rsidR="005B7810" w:rsidRDefault="00D62F1D" w:rsidP="00FB6040">
      <w:pPr>
        <w:spacing w:after="160" w:line="259" w:lineRule="auto"/>
        <w:jc w:val="both"/>
        <w:rPr>
          <w:rFonts w:ascii="Tahoma" w:hAnsi="Tahoma" w:cs="Tahoma"/>
          <w:color w:val="000000" w:themeColor="text1"/>
          <w:sz w:val="22"/>
          <w:szCs w:val="22"/>
          <w:lang w:val="sr-Cyrl-RS"/>
        </w:rPr>
      </w:pPr>
      <w:r w:rsidRPr="00FB6040">
        <w:rPr>
          <w:rFonts w:ascii="Tahoma" w:hAnsi="Tahoma" w:cs="Tahoma"/>
          <w:color w:val="000000" w:themeColor="text1"/>
          <w:sz w:val="22"/>
          <w:szCs w:val="22"/>
          <w:lang w:val="sr-Cyrl-RS"/>
        </w:rPr>
        <w:t>Спроведена анализа показује да је удео расхода за социјалну заштит</w:t>
      </w:r>
      <w:r w:rsidR="00ED2958" w:rsidRPr="00FB6040">
        <w:rPr>
          <w:rFonts w:ascii="Tahoma" w:hAnsi="Tahoma" w:cs="Tahoma"/>
          <w:color w:val="000000" w:themeColor="text1"/>
          <w:sz w:val="22"/>
          <w:szCs w:val="22"/>
          <w:lang w:val="sr-Cyrl-RS"/>
        </w:rPr>
        <w:t>у</w:t>
      </w:r>
      <w:r w:rsidRPr="00FB6040">
        <w:rPr>
          <w:rFonts w:ascii="Tahoma" w:hAnsi="Tahoma" w:cs="Tahoma"/>
          <w:color w:val="000000" w:themeColor="text1"/>
          <w:sz w:val="22"/>
          <w:szCs w:val="22"/>
          <w:lang w:val="sr-Cyrl-RS"/>
        </w:rPr>
        <w:t xml:space="preserve"> из локалног буџета у </w:t>
      </w:r>
      <w:r w:rsidR="000907B9" w:rsidRPr="00FB6040">
        <w:rPr>
          <w:rFonts w:ascii="Tahoma" w:hAnsi="Tahoma" w:cs="Tahoma"/>
          <w:color w:val="000000" w:themeColor="text1"/>
          <w:sz w:val="22"/>
          <w:szCs w:val="22"/>
          <w:lang w:val="sr-Cyrl-RS"/>
        </w:rPr>
        <w:t xml:space="preserve"> </w:t>
      </w:r>
      <w:r w:rsidR="00BE7FFB" w:rsidRPr="00FF33AD">
        <w:rPr>
          <w:rFonts w:ascii="Tahoma" w:hAnsi="Tahoma" w:cs="Tahoma"/>
          <w:color w:val="000000" w:themeColor="text1"/>
          <w:sz w:val="22"/>
          <w:szCs w:val="22"/>
          <w:lang w:val="sr-Cyrl-RS"/>
        </w:rPr>
        <w:t>Смедеревској Паланци</w:t>
      </w:r>
      <w:r w:rsidR="000907B9" w:rsidRPr="00FF33AD">
        <w:rPr>
          <w:rFonts w:ascii="Tahoma" w:hAnsi="Tahoma" w:cs="Tahoma"/>
          <w:color w:val="000000" w:themeColor="text1"/>
          <w:sz w:val="22"/>
          <w:szCs w:val="22"/>
          <w:lang w:val="sr-Cyrl-RS"/>
        </w:rPr>
        <w:t xml:space="preserve"> </w:t>
      </w:r>
      <w:r w:rsidR="00BE7FFB" w:rsidRPr="00FF33AD">
        <w:rPr>
          <w:rFonts w:ascii="Tahoma" w:hAnsi="Tahoma" w:cs="Tahoma"/>
          <w:color w:val="000000" w:themeColor="text1"/>
          <w:sz w:val="22"/>
          <w:szCs w:val="22"/>
          <w:lang w:val="sr-Cyrl-RS"/>
        </w:rPr>
        <w:t xml:space="preserve">испод </w:t>
      </w:r>
      <w:r w:rsidR="00FB6040" w:rsidRPr="00FF33AD">
        <w:rPr>
          <w:rFonts w:ascii="Tahoma" w:hAnsi="Tahoma" w:cs="Tahoma"/>
          <w:color w:val="000000" w:themeColor="text1"/>
          <w:sz w:val="22"/>
          <w:szCs w:val="22"/>
          <w:lang w:val="sr-Cyrl-RS"/>
        </w:rPr>
        <w:t>ниво</w:t>
      </w:r>
      <w:r w:rsidR="00BE7FFB" w:rsidRPr="00FF33AD">
        <w:rPr>
          <w:rFonts w:ascii="Tahoma" w:hAnsi="Tahoma" w:cs="Tahoma"/>
          <w:color w:val="000000" w:themeColor="text1"/>
          <w:sz w:val="22"/>
          <w:szCs w:val="22"/>
          <w:lang w:val="sr-Cyrl-RS"/>
        </w:rPr>
        <w:t>а</w:t>
      </w:r>
      <w:r w:rsidR="00FB6040" w:rsidRPr="00FF33AD">
        <w:rPr>
          <w:rFonts w:ascii="Tahoma" w:hAnsi="Tahoma" w:cs="Tahoma"/>
          <w:color w:val="000000" w:themeColor="text1"/>
          <w:sz w:val="22"/>
          <w:szCs w:val="22"/>
          <w:lang w:val="sr-Cyrl-RS"/>
        </w:rPr>
        <w:t xml:space="preserve"> </w:t>
      </w:r>
      <w:r w:rsidRPr="00FF33AD">
        <w:rPr>
          <w:rFonts w:ascii="Tahoma" w:hAnsi="Tahoma" w:cs="Tahoma"/>
          <w:color w:val="000000" w:themeColor="text1"/>
          <w:sz w:val="22"/>
          <w:szCs w:val="22"/>
          <w:lang w:val="sr-Cyrl-RS"/>
        </w:rPr>
        <w:t>просека издвајања ЈЛС у Србији</w:t>
      </w:r>
      <w:r w:rsidR="00ED2958" w:rsidRPr="00FF33AD">
        <w:rPr>
          <w:rFonts w:ascii="Tahoma" w:hAnsi="Tahoma" w:cs="Tahoma"/>
          <w:color w:val="000000" w:themeColor="text1"/>
          <w:sz w:val="22"/>
          <w:szCs w:val="22"/>
          <w:lang w:val="sr-Cyrl-RS"/>
        </w:rPr>
        <w:t>.</w:t>
      </w:r>
      <w:r w:rsidRPr="00FF33AD">
        <w:rPr>
          <w:rFonts w:ascii="Tahoma" w:hAnsi="Tahoma" w:cs="Tahoma"/>
          <w:color w:val="000000" w:themeColor="text1"/>
          <w:sz w:val="22"/>
          <w:szCs w:val="22"/>
          <w:lang w:val="sr-Cyrl-RS"/>
        </w:rPr>
        <w:t xml:space="preserve"> </w:t>
      </w:r>
      <w:r w:rsidR="00DC70C0" w:rsidRPr="00FF33AD">
        <w:rPr>
          <w:rFonts w:ascii="Tahoma" w:hAnsi="Tahoma" w:cs="Tahoma"/>
          <w:color w:val="000000" w:themeColor="text1"/>
          <w:sz w:val="22"/>
          <w:szCs w:val="22"/>
          <w:lang w:val="sr-Cyrl-RS"/>
        </w:rPr>
        <w:t>Н</w:t>
      </w:r>
      <w:r w:rsidRPr="00FF33AD">
        <w:rPr>
          <w:rFonts w:ascii="Tahoma" w:hAnsi="Tahoma" w:cs="Tahoma"/>
          <w:color w:val="000000" w:themeColor="text1"/>
          <w:sz w:val="22"/>
          <w:szCs w:val="22"/>
          <w:lang w:val="sr-Cyrl-RS"/>
        </w:rPr>
        <w:t>алази</w:t>
      </w:r>
      <w:r w:rsidRPr="00FB6040">
        <w:rPr>
          <w:rFonts w:ascii="Tahoma" w:hAnsi="Tahoma" w:cs="Tahoma"/>
          <w:color w:val="000000" w:themeColor="text1"/>
          <w:sz w:val="22"/>
          <w:szCs w:val="22"/>
          <w:lang w:val="sr-Cyrl-RS"/>
        </w:rPr>
        <w:t xml:space="preserve"> мапирања индицирају да је </w:t>
      </w:r>
      <w:r w:rsidRPr="006C493E">
        <w:rPr>
          <w:rFonts w:ascii="Tahoma" w:hAnsi="Tahoma" w:cs="Tahoma"/>
          <w:color w:val="000000" w:themeColor="text1"/>
          <w:sz w:val="22"/>
          <w:szCs w:val="22"/>
          <w:lang w:val="sr-Cyrl-RS"/>
        </w:rPr>
        <w:t xml:space="preserve">обим интервенције </w:t>
      </w:r>
      <w:r w:rsidR="00BE7FFB">
        <w:rPr>
          <w:rFonts w:ascii="Tahoma" w:hAnsi="Tahoma" w:cs="Tahoma"/>
          <w:color w:val="000000" w:themeColor="text1"/>
          <w:sz w:val="22"/>
          <w:szCs w:val="22"/>
          <w:lang w:val="sr-Cyrl-RS"/>
        </w:rPr>
        <w:t xml:space="preserve">и </w:t>
      </w:r>
      <w:r w:rsidRPr="006C493E">
        <w:rPr>
          <w:rFonts w:ascii="Tahoma" w:hAnsi="Tahoma" w:cs="Tahoma"/>
          <w:color w:val="000000" w:themeColor="text1"/>
          <w:sz w:val="22"/>
          <w:szCs w:val="22"/>
          <w:lang w:val="sr-Cyrl-RS"/>
        </w:rPr>
        <w:t xml:space="preserve">у области услуга социјалне заштите </w:t>
      </w:r>
      <w:r w:rsidR="00BE7FFB">
        <w:rPr>
          <w:rFonts w:ascii="Tahoma" w:hAnsi="Tahoma" w:cs="Tahoma"/>
          <w:color w:val="000000" w:themeColor="text1"/>
          <w:sz w:val="22"/>
          <w:szCs w:val="22"/>
          <w:lang w:val="sr-Cyrl-RS"/>
        </w:rPr>
        <w:t xml:space="preserve">и </w:t>
      </w:r>
      <w:r w:rsidR="00BE7FFB" w:rsidRPr="00993B3C">
        <w:rPr>
          <w:rFonts w:ascii="Tahoma" w:hAnsi="Tahoma" w:cs="Tahoma"/>
          <w:color w:val="000000" w:themeColor="text1"/>
          <w:sz w:val="22"/>
          <w:szCs w:val="22"/>
          <w:lang w:val="sr-Cyrl-RS"/>
        </w:rPr>
        <w:t>у</w:t>
      </w:r>
      <w:r w:rsidR="00BE7FFB" w:rsidRPr="006C493E">
        <w:rPr>
          <w:rFonts w:ascii="Tahoma" w:hAnsi="Tahoma" w:cs="Tahoma"/>
          <w:color w:val="000000" w:themeColor="text1"/>
          <w:sz w:val="22"/>
          <w:szCs w:val="22"/>
          <w:lang w:val="sr-Cyrl-RS"/>
        </w:rPr>
        <w:t xml:space="preserve"> домену материјалне подршке у надлежности ЈЛС</w:t>
      </w:r>
      <w:r w:rsidR="00BE7FFB">
        <w:rPr>
          <w:rFonts w:ascii="Tahoma" w:hAnsi="Tahoma" w:cs="Tahoma"/>
          <w:color w:val="000000" w:themeColor="text1"/>
          <w:sz w:val="22"/>
          <w:szCs w:val="22"/>
          <w:lang w:val="sr-Cyrl-RS"/>
        </w:rPr>
        <w:t xml:space="preserve"> </w:t>
      </w:r>
      <w:r w:rsidR="00ED2958" w:rsidRPr="006C493E">
        <w:rPr>
          <w:rFonts w:ascii="Tahoma" w:hAnsi="Tahoma" w:cs="Tahoma"/>
          <w:color w:val="000000" w:themeColor="text1"/>
          <w:sz w:val="22"/>
          <w:szCs w:val="22"/>
          <w:lang w:val="sr-Cyrl-RS"/>
        </w:rPr>
        <w:t xml:space="preserve">веома мали, </w:t>
      </w:r>
      <w:r w:rsidR="00DC70C0" w:rsidRPr="006C493E">
        <w:rPr>
          <w:rFonts w:ascii="Tahoma" w:hAnsi="Tahoma" w:cs="Tahoma"/>
          <w:color w:val="000000" w:themeColor="text1"/>
          <w:sz w:val="22"/>
          <w:szCs w:val="22"/>
          <w:lang w:val="sr-Cyrl-RS"/>
        </w:rPr>
        <w:t xml:space="preserve">далеко испод </w:t>
      </w:r>
      <w:r w:rsidR="000944BC" w:rsidRPr="006C493E">
        <w:rPr>
          <w:rFonts w:ascii="Tahoma" w:hAnsi="Tahoma" w:cs="Tahoma"/>
          <w:color w:val="000000" w:themeColor="text1"/>
          <w:sz w:val="22"/>
          <w:szCs w:val="22"/>
          <w:lang w:val="sr-Cyrl-RS"/>
        </w:rPr>
        <w:t xml:space="preserve">просека </w:t>
      </w:r>
      <w:r w:rsidR="000944BC" w:rsidRPr="00993B3C">
        <w:rPr>
          <w:rFonts w:ascii="Tahoma" w:hAnsi="Tahoma" w:cs="Tahoma"/>
          <w:color w:val="000000" w:themeColor="text1"/>
          <w:sz w:val="22"/>
          <w:szCs w:val="22"/>
          <w:lang w:val="sr-Cyrl-RS"/>
        </w:rPr>
        <w:t>Србија-</w:t>
      </w:r>
      <w:r w:rsidR="00BE7FFB">
        <w:rPr>
          <w:rFonts w:ascii="Tahoma" w:hAnsi="Tahoma" w:cs="Tahoma"/>
          <w:color w:val="000000" w:themeColor="text1"/>
          <w:sz w:val="22"/>
          <w:szCs w:val="22"/>
          <w:lang w:val="sr-Cyrl-RS"/>
        </w:rPr>
        <w:t>југ</w:t>
      </w:r>
      <w:r w:rsidRPr="006C493E">
        <w:rPr>
          <w:rFonts w:ascii="Tahoma" w:hAnsi="Tahoma" w:cs="Tahoma"/>
          <w:color w:val="000000" w:themeColor="text1"/>
          <w:sz w:val="22"/>
          <w:szCs w:val="22"/>
          <w:lang w:val="sr-Cyrl-RS"/>
        </w:rPr>
        <w:t xml:space="preserve">. </w:t>
      </w:r>
      <w:r w:rsidR="00221ADB" w:rsidRPr="006C493E">
        <w:rPr>
          <w:rFonts w:ascii="Tahoma" w:hAnsi="Tahoma" w:cs="Tahoma"/>
          <w:color w:val="000000" w:themeColor="text1"/>
          <w:sz w:val="22"/>
          <w:szCs w:val="22"/>
          <w:lang w:val="sr-Cyrl-RS"/>
        </w:rPr>
        <w:t>У односу на 2015. годину обим интервенције у области услуга социјалне заштите је</w:t>
      </w:r>
      <w:r w:rsidR="00221ADB">
        <w:rPr>
          <w:rFonts w:ascii="Tahoma" w:hAnsi="Tahoma" w:cs="Tahoma"/>
          <w:color w:val="000000" w:themeColor="text1"/>
          <w:sz w:val="22"/>
          <w:szCs w:val="22"/>
          <w:lang w:val="sr-Cyrl-RS"/>
        </w:rPr>
        <w:t xml:space="preserve"> остао непромењен.</w:t>
      </w:r>
      <w:r w:rsidR="00221ADB" w:rsidRPr="00147EC7">
        <w:rPr>
          <w:rFonts w:ascii="Tahoma" w:hAnsi="Tahoma" w:cs="Tahoma"/>
          <w:color w:val="000000" w:themeColor="text1"/>
          <w:sz w:val="22"/>
          <w:szCs w:val="22"/>
          <w:lang w:val="sr-Cyrl-RS"/>
        </w:rPr>
        <w:t xml:space="preserve"> </w:t>
      </w:r>
      <w:r w:rsidR="00DC70C0" w:rsidRPr="006C493E">
        <w:rPr>
          <w:rFonts w:ascii="Tahoma" w:hAnsi="Tahoma" w:cs="Tahoma"/>
          <w:color w:val="000000" w:themeColor="text1"/>
          <w:sz w:val="22"/>
          <w:szCs w:val="22"/>
          <w:lang w:val="sr-Cyrl-RS"/>
        </w:rPr>
        <w:t>Улагања у материјалну подршку су</w:t>
      </w:r>
      <w:r w:rsidR="004B42BF" w:rsidRPr="006C493E">
        <w:rPr>
          <w:rFonts w:ascii="Tahoma" w:hAnsi="Tahoma" w:cs="Tahoma"/>
          <w:color w:val="000000" w:themeColor="text1"/>
          <w:sz w:val="22"/>
          <w:szCs w:val="22"/>
          <w:lang w:val="sr-Cyrl-RS"/>
        </w:rPr>
        <w:t xml:space="preserve"> </w:t>
      </w:r>
      <w:r w:rsidR="00BE7FFB">
        <w:rPr>
          <w:rFonts w:ascii="Tahoma" w:hAnsi="Tahoma" w:cs="Tahoma"/>
          <w:color w:val="000000" w:themeColor="text1"/>
          <w:sz w:val="22"/>
          <w:szCs w:val="22"/>
          <w:lang w:val="sr-Cyrl-RS"/>
        </w:rPr>
        <w:t xml:space="preserve">једнака </w:t>
      </w:r>
      <w:r w:rsidR="004B42BF" w:rsidRPr="006C493E">
        <w:rPr>
          <w:rFonts w:ascii="Tahoma" w:hAnsi="Tahoma" w:cs="Tahoma"/>
          <w:color w:val="000000" w:themeColor="text1"/>
          <w:sz w:val="22"/>
          <w:szCs w:val="22"/>
          <w:lang w:val="sr-Cyrl-RS"/>
        </w:rPr>
        <w:t>улагањ</w:t>
      </w:r>
      <w:r w:rsidR="00BE7FFB">
        <w:rPr>
          <w:rFonts w:ascii="Tahoma" w:hAnsi="Tahoma" w:cs="Tahoma"/>
          <w:color w:val="000000" w:themeColor="text1"/>
          <w:sz w:val="22"/>
          <w:szCs w:val="22"/>
          <w:lang w:val="sr-Cyrl-RS"/>
        </w:rPr>
        <w:t>има</w:t>
      </w:r>
      <w:r w:rsidR="004B42BF" w:rsidRPr="006C493E">
        <w:rPr>
          <w:rFonts w:ascii="Tahoma" w:hAnsi="Tahoma" w:cs="Tahoma"/>
          <w:color w:val="000000" w:themeColor="text1"/>
          <w:sz w:val="22"/>
          <w:szCs w:val="22"/>
          <w:lang w:val="sr-Cyrl-RS"/>
        </w:rPr>
        <w:t xml:space="preserve"> у услуге</w:t>
      </w:r>
      <w:r w:rsidR="00147EC7">
        <w:rPr>
          <w:rFonts w:ascii="Tahoma" w:hAnsi="Tahoma" w:cs="Tahoma"/>
          <w:color w:val="000000" w:themeColor="text1"/>
          <w:sz w:val="22"/>
          <w:szCs w:val="22"/>
          <w:lang w:val="sr-Cyrl-RS"/>
        </w:rPr>
        <w:t>.</w:t>
      </w:r>
      <w:r w:rsidR="004B42BF" w:rsidRPr="006C493E">
        <w:rPr>
          <w:rFonts w:ascii="Tahoma" w:hAnsi="Tahoma" w:cs="Tahoma"/>
          <w:color w:val="000000" w:themeColor="text1"/>
          <w:sz w:val="22"/>
          <w:szCs w:val="22"/>
          <w:lang w:val="sr-Cyrl-RS"/>
        </w:rPr>
        <w:t xml:space="preserve"> </w:t>
      </w:r>
      <w:r w:rsidR="00BE7FFB">
        <w:rPr>
          <w:rFonts w:ascii="Tahoma" w:hAnsi="Tahoma" w:cs="Tahoma"/>
          <w:color w:val="000000" w:themeColor="text1"/>
          <w:sz w:val="22"/>
          <w:szCs w:val="22"/>
          <w:lang w:val="sr-Cyrl-RS"/>
        </w:rPr>
        <w:t xml:space="preserve">Преко </w:t>
      </w:r>
      <w:r w:rsidR="00ED2958" w:rsidRPr="006C493E">
        <w:rPr>
          <w:rFonts w:ascii="Tahoma" w:hAnsi="Tahoma" w:cs="Tahoma"/>
          <w:color w:val="000000" w:themeColor="text1"/>
          <w:sz w:val="22"/>
          <w:szCs w:val="22"/>
          <w:lang w:val="sr-Cyrl-RS"/>
        </w:rPr>
        <w:t>полови</w:t>
      </w:r>
      <w:r w:rsidR="005B7810">
        <w:rPr>
          <w:rFonts w:ascii="Tahoma" w:hAnsi="Tahoma" w:cs="Tahoma"/>
          <w:color w:val="000000" w:themeColor="text1"/>
          <w:sz w:val="22"/>
          <w:szCs w:val="22"/>
          <w:lang w:val="sr-Cyrl-RS"/>
        </w:rPr>
        <w:t>н</w:t>
      </w:r>
      <w:r w:rsidR="00BE7FFB">
        <w:rPr>
          <w:rFonts w:ascii="Tahoma" w:hAnsi="Tahoma" w:cs="Tahoma"/>
          <w:color w:val="000000" w:themeColor="text1"/>
          <w:sz w:val="22"/>
          <w:szCs w:val="22"/>
          <w:lang w:val="sr-Cyrl-RS"/>
        </w:rPr>
        <w:t>е</w:t>
      </w:r>
      <w:r w:rsidR="00ED2958" w:rsidRPr="006C493E">
        <w:rPr>
          <w:rFonts w:ascii="Tahoma" w:hAnsi="Tahoma" w:cs="Tahoma"/>
          <w:color w:val="000000" w:themeColor="text1"/>
          <w:sz w:val="22"/>
          <w:szCs w:val="22"/>
          <w:lang w:val="sr-Cyrl-RS"/>
        </w:rPr>
        <w:t xml:space="preserve"> м</w:t>
      </w:r>
      <w:r w:rsidRPr="006C493E">
        <w:rPr>
          <w:rFonts w:ascii="Tahoma" w:hAnsi="Tahoma" w:cs="Tahoma"/>
          <w:color w:val="000000" w:themeColor="text1"/>
          <w:sz w:val="22"/>
          <w:szCs w:val="22"/>
          <w:lang w:val="sr-Cyrl-RS"/>
        </w:rPr>
        <w:t>атеријалн</w:t>
      </w:r>
      <w:r w:rsidR="00ED2958" w:rsidRPr="006C493E">
        <w:rPr>
          <w:rFonts w:ascii="Tahoma" w:hAnsi="Tahoma" w:cs="Tahoma"/>
          <w:color w:val="000000" w:themeColor="text1"/>
          <w:sz w:val="22"/>
          <w:szCs w:val="22"/>
          <w:lang w:val="sr-Cyrl-RS"/>
        </w:rPr>
        <w:t>е</w:t>
      </w:r>
      <w:r w:rsidRPr="006C493E">
        <w:rPr>
          <w:rFonts w:ascii="Tahoma" w:hAnsi="Tahoma" w:cs="Tahoma"/>
          <w:color w:val="000000" w:themeColor="text1"/>
          <w:sz w:val="22"/>
          <w:szCs w:val="22"/>
          <w:lang w:val="sr-Cyrl-RS"/>
        </w:rPr>
        <w:t xml:space="preserve"> подршке</w:t>
      </w:r>
      <w:r w:rsidR="000944BC" w:rsidRPr="006C493E">
        <w:rPr>
          <w:rFonts w:ascii="Tahoma" w:hAnsi="Tahoma" w:cs="Tahoma"/>
          <w:color w:val="000000" w:themeColor="text1"/>
          <w:sz w:val="22"/>
          <w:szCs w:val="22"/>
          <w:lang w:val="sr-Cyrl-RS"/>
        </w:rPr>
        <w:t xml:space="preserve"> </w:t>
      </w:r>
      <w:r w:rsidRPr="006C493E">
        <w:rPr>
          <w:rFonts w:ascii="Tahoma" w:hAnsi="Tahoma" w:cs="Tahoma"/>
          <w:color w:val="000000" w:themeColor="text1"/>
          <w:sz w:val="22"/>
          <w:szCs w:val="22"/>
          <w:lang w:val="sr-Cyrl-RS"/>
        </w:rPr>
        <w:t>је</w:t>
      </w:r>
      <w:r w:rsidR="00ED2958" w:rsidRPr="006C493E">
        <w:rPr>
          <w:rFonts w:ascii="Tahoma" w:hAnsi="Tahoma" w:cs="Tahoma"/>
          <w:color w:val="000000" w:themeColor="text1"/>
          <w:sz w:val="22"/>
          <w:szCs w:val="22"/>
          <w:lang w:val="sr-Cyrl-RS"/>
        </w:rPr>
        <w:t xml:space="preserve"> </w:t>
      </w:r>
      <w:r w:rsidRPr="006C493E">
        <w:rPr>
          <w:rFonts w:ascii="Tahoma" w:hAnsi="Tahoma" w:cs="Tahoma"/>
          <w:color w:val="000000" w:themeColor="text1"/>
          <w:sz w:val="22"/>
          <w:szCs w:val="22"/>
          <w:lang w:val="sr-Cyrl-RS"/>
        </w:rPr>
        <w:t>усмерена на сиромашне</w:t>
      </w:r>
      <w:r w:rsidR="000944BC" w:rsidRPr="006C493E">
        <w:rPr>
          <w:rFonts w:ascii="Tahoma" w:hAnsi="Tahoma" w:cs="Tahoma"/>
          <w:color w:val="000000" w:themeColor="text1"/>
          <w:sz w:val="22"/>
          <w:szCs w:val="22"/>
          <w:lang w:val="sr-Cyrl-RS"/>
        </w:rPr>
        <w:t>.</w:t>
      </w:r>
    </w:p>
    <w:p w14:paraId="2A28D85D" w14:textId="38F9DE64" w:rsidR="006F4FA7" w:rsidRDefault="0036401D" w:rsidP="00FB6040">
      <w:pPr>
        <w:spacing w:after="160" w:line="259" w:lineRule="auto"/>
        <w:jc w:val="both"/>
        <w:rPr>
          <w:rFonts w:ascii="Tahoma" w:hAnsi="Tahoma" w:cs="Tahoma"/>
          <w:color w:val="000000" w:themeColor="text1"/>
          <w:sz w:val="22"/>
          <w:szCs w:val="22"/>
          <w:lang w:val="sr-Cyrl-RS"/>
        </w:rPr>
      </w:pPr>
      <w:r w:rsidRPr="0036401D">
        <w:rPr>
          <w:rFonts w:ascii="Tahoma" w:hAnsi="Tahoma" w:cs="Tahoma"/>
          <w:color w:val="000000" w:themeColor="text1"/>
          <w:sz w:val="22"/>
          <w:szCs w:val="22"/>
          <w:lang w:val="sr-Cyrl-RS"/>
        </w:rPr>
        <w:t xml:space="preserve">У 2018. години у </w:t>
      </w:r>
      <w:r w:rsidR="009E6A50">
        <w:rPr>
          <w:rFonts w:ascii="Tahoma" w:hAnsi="Tahoma" w:cs="Tahoma"/>
          <w:color w:val="000000" w:themeColor="text1"/>
          <w:sz w:val="22"/>
          <w:szCs w:val="22"/>
          <w:lang w:val="sr-Cyrl-RS"/>
        </w:rPr>
        <w:t xml:space="preserve">Смедеревској Паланци </w:t>
      </w:r>
      <w:r w:rsidRPr="0036401D">
        <w:rPr>
          <w:rFonts w:ascii="Tahoma" w:hAnsi="Tahoma" w:cs="Tahoma"/>
          <w:color w:val="000000" w:themeColor="text1"/>
          <w:sz w:val="22"/>
          <w:szCs w:val="22"/>
          <w:lang w:val="sr-Cyrl-RS"/>
        </w:rPr>
        <w:t xml:space="preserve">су се обезбеђивале услуге </w:t>
      </w:r>
      <w:r w:rsidRPr="003E3A10">
        <w:rPr>
          <w:rFonts w:ascii="Tahoma" w:hAnsi="Tahoma" w:cs="Tahoma"/>
          <w:color w:val="000000" w:themeColor="text1"/>
          <w:sz w:val="22"/>
          <w:szCs w:val="22"/>
          <w:lang w:val="sr-Cyrl-RS"/>
        </w:rPr>
        <w:t xml:space="preserve">дневни боравак за </w:t>
      </w:r>
      <w:r w:rsidR="009E6A50">
        <w:rPr>
          <w:rFonts w:ascii="Tahoma" w:hAnsi="Tahoma" w:cs="Tahoma"/>
          <w:color w:val="000000" w:themeColor="text1"/>
          <w:sz w:val="22"/>
          <w:szCs w:val="22"/>
          <w:lang w:val="sr-Cyrl-RS"/>
        </w:rPr>
        <w:t>децу са сметњама у развој</w:t>
      </w:r>
      <w:r w:rsidR="00221ADB">
        <w:rPr>
          <w:rFonts w:ascii="Tahoma" w:hAnsi="Tahoma" w:cs="Tahoma"/>
          <w:color w:val="000000" w:themeColor="text1"/>
          <w:sz w:val="22"/>
          <w:szCs w:val="22"/>
          <w:lang w:val="sr-Cyrl-RS"/>
        </w:rPr>
        <w:t>у</w:t>
      </w:r>
      <w:r w:rsidR="009E6A50">
        <w:rPr>
          <w:rFonts w:ascii="Tahoma" w:hAnsi="Tahoma" w:cs="Tahoma"/>
          <w:color w:val="000000" w:themeColor="text1"/>
          <w:sz w:val="22"/>
          <w:szCs w:val="22"/>
          <w:lang w:val="sr-Cyrl-RS"/>
        </w:rPr>
        <w:t xml:space="preserve"> и дневни боравак за одрасле особе са инвалидитетом. Од 2021. године </w:t>
      </w:r>
      <w:r w:rsidR="00DB4E1F">
        <w:rPr>
          <w:rFonts w:ascii="Tahoma" w:hAnsi="Tahoma" w:cs="Tahoma"/>
          <w:color w:val="000000" w:themeColor="text1"/>
          <w:sz w:val="22"/>
          <w:szCs w:val="22"/>
          <w:lang w:val="sr-Cyrl-RS"/>
        </w:rPr>
        <w:t xml:space="preserve">пружа се и услуга лични пратилац детета, која се </w:t>
      </w:r>
      <w:r w:rsidR="009559E9">
        <w:rPr>
          <w:rFonts w:ascii="Tahoma" w:hAnsi="Tahoma" w:cs="Tahoma"/>
          <w:color w:val="000000" w:themeColor="text1"/>
          <w:sz w:val="22"/>
          <w:szCs w:val="22"/>
          <w:lang w:val="sr-Cyrl-RS"/>
        </w:rPr>
        <w:t>једним</w:t>
      </w:r>
      <w:r w:rsidR="00DB4E1F">
        <w:rPr>
          <w:rFonts w:ascii="Tahoma" w:hAnsi="Tahoma" w:cs="Tahoma"/>
          <w:color w:val="000000" w:themeColor="text1"/>
          <w:sz w:val="22"/>
          <w:szCs w:val="22"/>
          <w:lang w:val="sr-Cyrl-RS"/>
        </w:rPr>
        <w:t xml:space="preserve"> делом финансира из наменских трансфера.</w:t>
      </w:r>
    </w:p>
    <w:p w14:paraId="55D25938" w14:textId="39A09122" w:rsidR="006F4FA7" w:rsidRDefault="00A02B50" w:rsidP="00FB6040">
      <w:pPr>
        <w:spacing w:after="160" w:line="259" w:lineRule="auto"/>
        <w:jc w:val="both"/>
        <w:rPr>
          <w:rFonts w:ascii="Tahoma" w:hAnsi="Tahoma" w:cs="Tahoma"/>
          <w:color w:val="000000" w:themeColor="text1"/>
          <w:sz w:val="22"/>
          <w:szCs w:val="22"/>
          <w:lang w:val="sr-Cyrl-RS"/>
        </w:rPr>
      </w:pPr>
      <w:r>
        <w:rPr>
          <w:rFonts w:ascii="Tahoma" w:hAnsi="Tahoma" w:cs="Tahoma"/>
          <w:color w:val="000000" w:themeColor="text1"/>
          <w:sz w:val="22"/>
          <w:szCs w:val="22"/>
          <w:lang w:val="sr-Cyrl-RS"/>
        </w:rPr>
        <w:t xml:space="preserve">Доступност услуге дневни боравак за децу са сметњама у развоју је врло ниска, значајно испод просека Србија-југ, док је ефикасност задовољавајућа. </w:t>
      </w:r>
      <w:r w:rsidR="00706CA3">
        <w:rPr>
          <w:rFonts w:ascii="Tahoma" w:hAnsi="Tahoma" w:cs="Tahoma"/>
          <w:color w:val="000000" w:themeColor="text1"/>
          <w:sz w:val="22"/>
          <w:szCs w:val="22"/>
          <w:lang w:val="sr-Cyrl-RS"/>
        </w:rPr>
        <w:t>Смедеревска Паланка је једна од ретких средина у којој се пружа и у</w:t>
      </w:r>
      <w:r w:rsidR="00895297" w:rsidRPr="00281AB5">
        <w:rPr>
          <w:rFonts w:ascii="Tahoma" w:hAnsi="Tahoma" w:cs="Tahoma"/>
          <w:color w:val="000000" w:themeColor="text1"/>
          <w:sz w:val="22"/>
          <w:szCs w:val="22"/>
          <w:lang w:val="sr-Cyrl-RS"/>
        </w:rPr>
        <w:t>слуг</w:t>
      </w:r>
      <w:r>
        <w:rPr>
          <w:rFonts w:ascii="Tahoma" w:hAnsi="Tahoma" w:cs="Tahoma"/>
          <w:color w:val="000000" w:themeColor="text1"/>
          <w:sz w:val="22"/>
          <w:szCs w:val="22"/>
          <w:lang w:val="sr-Cyrl-RS"/>
        </w:rPr>
        <w:t>а</w:t>
      </w:r>
      <w:r w:rsidR="00895297" w:rsidRPr="00281AB5">
        <w:rPr>
          <w:rFonts w:ascii="Tahoma" w:hAnsi="Tahoma" w:cs="Tahoma"/>
          <w:color w:val="000000" w:themeColor="text1"/>
          <w:sz w:val="22"/>
          <w:szCs w:val="22"/>
          <w:lang w:val="sr-Cyrl-RS"/>
        </w:rPr>
        <w:t xml:space="preserve"> дневног боравка за </w:t>
      </w:r>
      <w:r>
        <w:rPr>
          <w:rFonts w:ascii="Tahoma" w:hAnsi="Tahoma" w:cs="Tahoma"/>
          <w:color w:val="000000" w:themeColor="text1"/>
          <w:sz w:val="22"/>
          <w:szCs w:val="22"/>
          <w:lang w:val="sr-Cyrl-RS"/>
        </w:rPr>
        <w:t>одрасле особе са инвалидитетом</w:t>
      </w:r>
      <w:r w:rsidR="00895297" w:rsidRPr="00281AB5">
        <w:rPr>
          <w:rFonts w:ascii="Tahoma" w:hAnsi="Tahoma" w:cs="Tahoma"/>
          <w:color w:val="000000" w:themeColor="text1"/>
          <w:sz w:val="22"/>
          <w:szCs w:val="22"/>
          <w:lang w:val="sr-Cyrl-RS"/>
        </w:rPr>
        <w:t>.</w:t>
      </w:r>
      <w:r w:rsidR="002B7FD2" w:rsidRPr="00281AB5">
        <w:rPr>
          <w:rFonts w:ascii="Tahoma" w:hAnsi="Tahoma" w:cs="Tahoma"/>
          <w:color w:val="000000" w:themeColor="text1"/>
          <w:sz w:val="22"/>
          <w:szCs w:val="22"/>
          <w:lang w:val="sr-Cyrl-RS"/>
        </w:rPr>
        <w:t xml:space="preserve"> </w:t>
      </w:r>
      <w:r w:rsidR="004E7A5D" w:rsidRPr="00281AB5">
        <w:rPr>
          <w:rFonts w:ascii="Tahoma" w:hAnsi="Tahoma" w:cs="Tahoma"/>
          <w:color w:val="000000" w:themeColor="text1"/>
          <w:sz w:val="22"/>
          <w:szCs w:val="22"/>
          <w:lang w:val="sr-Cyrl-RS"/>
        </w:rPr>
        <w:t>П</w:t>
      </w:r>
      <w:r w:rsidR="00E504FF" w:rsidRPr="00281AB5">
        <w:rPr>
          <w:rFonts w:ascii="Tahoma" w:hAnsi="Tahoma" w:cs="Tahoma"/>
          <w:color w:val="000000" w:themeColor="text1"/>
          <w:sz w:val="22"/>
          <w:szCs w:val="22"/>
          <w:lang w:val="sr-Cyrl-RS"/>
        </w:rPr>
        <w:t>ружа</w:t>
      </w:r>
      <w:r w:rsidR="00706CA3">
        <w:rPr>
          <w:rFonts w:ascii="Tahoma" w:hAnsi="Tahoma" w:cs="Tahoma"/>
          <w:color w:val="000000" w:themeColor="text1"/>
          <w:sz w:val="22"/>
          <w:szCs w:val="22"/>
          <w:lang w:val="sr-Cyrl-RS"/>
        </w:rPr>
        <w:t>лац обе</w:t>
      </w:r>
      <w:r w:rsidR="00E504FF" w:rsidRPr="00281AB5">
        <w:rPr>
          <w:rFonts w:ascii="Tahoma" w:hAnsi="Tahoma" w:cs="Tahoma"/>
          <w:color w:val="000000" w:themeColor="text1"/>
          <w:sz w:val="22"/>
          <w:szCs w:val="22"/>
          <w:lang w:val="sr-Cyrl-RS"/>
        </w:rPr>
        <w:t xml:space="preserve"> услуга 2018. године </w:t>
      </w:r>
      <w:r w:rsidR="00706CA3">
        <w:rPr>
          <w:rFonts w:ascii="Tahoma" w:hAnsi="Tahoma" w:cs="Tahoma"/>
          <w:color w:val="000000" w:themeColor="text1"/>
          <w:sz w:val="22"/>
          <w:szCs w:val="22"/>
          <w:lang w:val="sr-Cyrl-RS"/>
        </w:rPr>
        <w:t>је</w:t>
      </w:r>
      <w:r w:rsidR="00E504FF" w:rsidRPr="00281AB5">
        <w:rPr>
          <w:rFonts w:ascii="Tahoma" w:hAnsi="Tahoma" w:cs="Tahoma"/>
          <w:color w:val="000000" w:themeColor="text1"/>
          <w:sz w:val="22"/>
          <w:szCs w:val="22"/>
          <w:lang w:val="sr-Cyrl-RS"/>
        </w:rPr>
        <w:t xml:space="preserve"> </w:t>
      </w:r>
      <w:r>
        <w:rPr>
          <w:rFonts w:ascii="Tahoma" w:hAnsi="Tahoma" w:cs="Tahoma"/>
          <w:color w:val="000000" w:themeColor="text1"/>
          <w:sz w:val="22"/>
          <w:szCs w:val="22"/>
          <w:lang w:val="sr-Cyrl-RS"/>
        </w:rPr>
        <w:t xml:space="preserve">из јавног сектора </w:t>
      </w:r>
      <w:r w:rsidR="00706CA3">
        <w:rPr>
          <w:rFonts w:ascii="Tahoma" w:hAnsi="Tahoma" w:cs="Tahoma"/>
          <w:color w:val="000000" w:themeColor="text1"/>
          <w:sz w:val="22"/>
          <w:szCs w:val="22"/>
          <w:lang w:val="sr-Cyrl-RS"/>
        </w:rPr>
        <w:t xml:space="preserve">(посебна организациона јединица при ЦСР) који поседује </w:t>
      </w:r>
      <w:r w:rsidR="00E504FF" w:rsidRPr="00281AB5">
        <w:rPr>
          <w:rFonts w:ascii="Tahoma" w:hAnsi="Tahoma" w:cs="Tahoma"/>
          <w:color w:val="000000" w:themeColor="text1"/>
          <w:sz w:val="22"/>
          <w:szCs w:val="22"/>
          <w:lang w:val="sr-Cyrl-RS"/>
        </w:rPr>
        <w:t>лиценц</w:t>
      </w:r>
      <w:r w:rsidR="00706CA3">
        <w:rPr>
          <w:rFonts w:ascii="Tahoma" w:hAnsi="Tahoma" w:cs="Tahoma"/>
          <w:color w:val="000000" w:themeColor="text1"/>
          <w:sz w:val="22"/>
          <w:szCs w:val="22"/>
          <w:lang w:val="sr-Cyrl-RS"/>
        </w:rPr>
        <w:t>у</w:t>
      </w:r>
      <w:r w:rsidR="00281AB5">
        <w:rPr>
          <w:rFonts w:ascii="Tahoma" w:hAnsi="Tahoma" w:cs="Tahoma"/>
          <w:color w:val="000000" w:themeColor="text1"/>
          <w:sz w:val="22"/>
          <w:szCs w:val="22"/>
          <w:lang w:val="sr-Cyrl-RS"/>
        </w:rPr>
        <w:t xml:space="preserve">. </w:t>
      </w:r>
      <w:r w:rsidR="002B7FD2" w:rsidRPr="00281AB5">
        <w:rPr>
          <w:rFonts w:ascii="Tahoma" w:hAnsi="Tahoma" w:cs="Tahoma"/>
          <w:color w:val="000000" w:themeColor="text1"/>
          <w:sz w:val="22"/>
          <w:szCs w:val="22"/>
          <w:lang w:val="sr-Cyrl-RS"/>
        </w:rPr>
        <w:t xml:space="preserve">У односу на 2015. годину, посебно је позитивно што је </w:t>
      </w:r>
      <w:r w:rsidR="00706CA3">
        <w:rPr>
          <w:rFonts w:ascii="Tahoma" w:hAnsi="Tahoma" w:cs="Tahoma"/>
          <w:color w:val="000000" w:themeColor="text1"/>
          <w:sz w:val="22"/>
          <w:szCs w:val="22"/>
          <w:lang w:val="sr-Cyrl-RS"/>
        </w:rPr>
        <w:t xml:space="preserve">2021. године </w:t>
      </w:r>
      <w:r w:rsidR="002B7FD2" w:rsidRPr="00281AB5">
        <w:rPr>
          <w:rFonts w:ascii="Tahoma" w:hAnsi="Tahoma" w:cs="Tahoma"/>
          <w:color w:val="000000" w:themeColor="text1"/>
          <w:sz w:val="22"/>
          <w:szCs w:val="22"/>
          <w:lang w:val="sr-Cyrl-RS"/>
        </w:rPr>
        <w:t>успостављена услуга лични пратилац детета</w:t>
      </w:r>
      <w:r w:rsidR="00DB4E1F">
        <w:rPr>
          <w:rFonts w:ascii="Tahoma" w:hAnsi="Tahoma" w:cs="Tahoma"/>
          <w:color w:val="000000" w:themeColor="text1"/>
          <w:sz w:val="22"/>
          <w:szCs w:val="22"/>
          <w:lang w:val="sr-Cyrl-RS"/>
        </w:rPr>
        <w:t>.</w:t>
      </w:r>
      <w:r w:rsidR="002B7FD2" w:rsidRPr="00281AB5">
        <w:rPr>
          <w:rFonts w:ascii="Tahoma" w:hAnsi="Tahoma" w:cs="Tahoma"/>
          <w:color w:val="000000" w:themeColor="text1"/>
          <w:sz w:val="22"/>
          <w:szCs w:val="22"/>
          <w:lang w:val="sr-Cyrl-RS"/>
        </w:rPr>
        <w:t xml:space="preserve"> </w:t>
      </w:r>
    </w:p>
    <w:p w14:paraId="317F99D8" w14:textId="65D26E20" w:rsidR="006F4FA7" w:rsidRPr="006F2345" w:rsidRDefault="00CE4B7A" w:rsidP="006F2345">
      <w:pPr>
        <w:spacing w:after="160" w:line="259" w:lineRule="auto"/>
        <w:jc w:val="both"/>
        <w:rPr>
          <w:rFonts w:ascii="Tahoma" w:hAnsi="Tahoma" w:cs="Tahoma"/>
          <w:color w:val="000000" w:themeColor="text1"/>
          <w:sz w:val="22"/>
          <w:szCs w:val="22"/>
          <w:lang w:val="sr-Latn-RS"/>
        </w:rPr>
      </w:pPr>
      <w:r w:rsidRPr="002B0AFB">
        <w:rPr>
          <w:rFonts w:ascii="Tahoma" w:hAnsi="Tahoma" w:cs="Tahoma"/>
          <w:color w:val="000000" w:themeColor="text1"/>
          <w:sz w:val="22"/>
          <w:szCs w:val="22"/>
          <w:lang w:val="sr-Cyrl-RS"/>
        </w:rPr>
        <w:t>У области заштите деце је искључиво присутан хранитељски смештај,</w:t>
      </w:r>
      <w:r w:rsidR="00E82C60" w:rsidRPr="00281AB5">
        <w:rPr>
          <w:rFonts w:ascii="Tahoma" w:hAnsi="Tahoma" w:cs="Tahoma"/>
          <w:color w:val="000000" w:themeColor="text1"/>
          <w:sz w:val="22"/>
          <w:szCs w:val="22"/>
          <w:lang w:val="sr-Cyrl-RS"/>
        </w:rPr>
        <w:t xml:space="preserve"> што треба да се</w:t>
      </w:r>
      <w:r w:rsidR="003D63B1" w:rsidRPr="00281AB5">
        <w:rPr>
          <w:rFonts w:ascii="Tahoma" w:hAnsi="Tahoma" w:cs="Tahoma"/>
          <w:color w:val="000000" w:themeColor="text1"/>
          <w:sz w:val="22"/>
          <w:szCs w:val="22"/>
          <w:lang w:val="sr-Cyrl-RS"/>
        </w:rPr>
        <w:t xml:space="preserve"> </w:t>
      </w:r>
      <w:r w:rsidR="00E82C60" w:rsidRPr="00281AB5">
        <w:rPr>
          <w:rFonts w:ascii="Tahoma" w:hAnsi="Tahoma" w:cs="Tahoma"/>
          <w:color w:val="000000" w:themeColor="text1"/>
          <w:sz w:val="22"/>
          <w:szCs w:val="22"/>
          <w:lang w:val="sr-Cyrl-RS"/>
        </w:rPr>
        <w:t xml:space="preserve">истакне као посебно </w:t>
      </w:r>
      <w:r w:rsidR="00D62F1D" w:rsidRPr="00281AB5">
        <w:rPr>
          <w:rFonts w:ascii="Tahoma" w:hAnsi="Tahoma" w:cs="Tahoma"/>
          <w:color w:val="000000" w:themeColor="text1"/>
          <w:sz w:val="22"/>
          <w:szCs w:val="22"/>
          <w:lang w:val="sr-Cyrl-RS"/>
        </w:rPr>
        <w:t>позитивн</w:t>
      </w:r>
      <w:r w:rsidR="003D63B1" w:rsidRPr="00281AB5">
        <w:rPr>
          <w:rFonts w:ascii="Tahoma" w:hAnsi="Tahoma" w:cs="Tahoma"/>
          <w:color w:val="000000" w:themeColor="text1"/>
          <w:sz w:val="22"/>
          <w:szCs w:val="22"/>
          <w:lang w:val="sr-Cyrl-RS"/>
        </w:rPr>
        <w:t>а одлика система</w:t>
      </w:r>
      <w:r w:rsidR="00E82C60" w:rsidRPr="00281AB5">
        <w:rPr>
          <w:rFonts w:ascii="Tahoma" w:hAnsi="Tahoma" w:cs="Tahoma"/>
          <w:color w:val="000000" w:themeColor="text1"/>
          <w:sz w:val="22"/>
          <w:szCs w:val="22"/>
          <w:lang w:val="sr-Cyrl-RS"/>
        </w:rPr>
        <w:t xml:space="preserve">. </w:t>
      </w:r>
      <w:r w:rsidR="00DB4E1F">
        <w:rPr>
          <w:rFonts w:ascii="Tahoma" w:hAnsi="Tahoma" w:cs="Tahoma"/>
          <w:color w:val="000000" w:themeColor="text1"/>
          <w:sz w:val="22"/>
          <w:szCs w:val="22"/>
          <w:lang w:val="sr-Cyrl-RS"/>
        </w:rPr>
        <w:t>С</w:t>
      </w:r>
      <w:r w:rsidR="00DB4E1F" w:rsidRPr="002B0AFB">
        <w:rPr>
          <w:rFonts w:ascii="Tahoma" w:hAnsi="Tahoma" w:cs="Tahoma"/>
          <w:color w:val="000000" w:themeColor="text1"/>
          <w:sz w:val="22"/>
          <w:szCs w:val="22"/>
          <w:lang w:val="sr-Cyrl-RS"/>
        </w:rPr>
        <w:t xml:space="preserve">топа смештаја </w:t>
      </w:r>
      <w:r w:rsidR="00433530">
        <w:rPr>
          <w:rFonts w:ascii="Tahoma" w:hAnsi="Tahoma" w:cs="Tahoma"/>
          <w:color w:val="000000" w:themeColor="text1"/>
          <w:sz w:val="22"/>
          <w:szCs w:val="22"/>
          <w:lang w:val="sr-Cyrl-RS"/>
        </w:rPr>
        <w:t xml:space="preserve">је међутим </w:t>
      </w:r>
      <w:r w:rsidR="00A02B50">
        <w:rPr>
          <w:rFonts w:ascii="Tahoma" w:hAnsi="Tahoma" w:cs="Tahoma"/>
          <w:color w:val="000000" w:themeColor="text1"/>
          <w:sz w:val="22"/>
          <w:szCs w:val="22"/>
          <w:lang w:val="sr-Cyrl-RS"/>
        </w:rPr>
        <w:t>двоструко</w:t>
      </w:r>
      <w:r w:rsidR="00DB4E1F">
        <w:rPr>
          <w:rFonts w:ascii="Tahoma" w:hAnsi="Tahoma" w:cs="Tahoma"/>
          <w:color w:val="000000" w:themeColor="text1"/>
          <w:sz w:val="22"/>
          <w:szCs w:val="22"/>
          <w:lang w:val="sr-Cyrl-RS"/>
        </w:rPr>
        <w:t xml:space="preserve"> </w:t>
      </w:r>
      <w:r w:rsidR="00DB4E1F" w:rsidRPr="002B0AFB">
        <w:rPr>
          <w:rFonts w:ascii="Tahoma" w:hAnsi="Tahoma" w:cs="Tahoma"/>
          <w:color w:val="000000" w:themeColor="text1"/>
          <w:sz w:val="22"/>
          <w:szCs w:val="22"/>
          <w:lang w:val="sr-Cyrl-RS"/>
        </w:rPr>
        <w:t>већа него у просеку на подручју Србија-југ</w:t>
      </w:r>
      <w:r w:rsidR="00A02B50">
        <w:rPr>
          <w:rFonts w:ascii="Tahoma" w:hAnsi="Tahoma" w:cs="Tahoma"/>
          <w:color w:val="000000" w:themeColor="text1"/>
          <w:sz w:val="22"/>
          <w:szCs w:val="22"/>
          <w:lang w:val="sr-Cyrl-RS"/>
        </w:rPr>
        <w:t>.</w:t>
      </w:r>
      <w:r w:rsidR="00DB4E1F" w:rsidRPr="00281AB5">
        <w:rPr>
          <w:rFonts w:ascii="Tahoma" w:hAnsi="Tahoma" w:cs="Tahoma"/>
          <w:color w:val="000000" w:themeColor="text1"/>
          <w:sz w:val="22"/>
          <w:szCs w:val="22"/>
          <w:lang w:val="sr-Cyrl-RS"/>
        </w:rPr>
        <w:t xml:space="preserve"> </w:t>
      </w:r>
      <w:r w:rsidR="004565DD" w:rsidRPr="00281AB5">
        <w:rPr>
          <w:rFonts w:ascii="Tahoma" w:hAnsi="Tahoma" w:cs="Tahoma"/>
          <w:color w:val="000000" w:themeColor="text1"/>
          <w:sz w:val="22"/>
          <w:szCs w:val="22"/>
          <w:lang w:val="sr-Cyrl-RS"/>
        </w:rPr>
        <w:t xml:space="preserve">У том контексту потребно је да се уложе додатни напори и на локалном нивоу ради подршке биолошким породицама. </w:t>
      </w:r>
    </w:p>
    <w:p w14:paraId="42393B4D" w14:textId="4178117E" w:rsidR="0030697C" w:rsidRDefault="00D62F1D" w:rsidP="00AA7436">
      <w:pPr>
        <w:spacing w:after="160" w:line="259" w:lineRule="auto"/>
        <w:jc w:val="both"/>
        <w:rPr>
          <w:rFonts w:ascii="Tahoma" w:hAnsi="Tahoma" w:cs="Tahoma"/>
          <w:color w:val="000000" w:themeColor="text1"/>
          <w:sz w:val="22"/>
          <w:szCs w:val="22"/>
          <w:lang w:val="sr-Cyrl-RS"/>
        </w:rPr>
      </w:pPr>
      <w:r w:rsidRPr="005C5B65">
        <w:rPr>
          <w:rFonts w:ascii="Tahoma" w:hAnsi="Tahoma" w:cs="Tahoma"/>
          <w:color w:val="000000" w:themeColor="text1"/>
          <w:sz w:val="22"/>
          <w:szCs w:val="22"/>
          <w:lang w:val="sr-Cyrl-RS"/>
        </w:rPr>
        <w:t xml:space="preserve">На основу расположивих података, махом из 2018. године, у наредном периоду би у области социјалне заштите у делу у коме је за њу надлежна локална самоуправа, нагласак требао </w:t>
      </w:r>
      <w:r w:rsidR="00D017F2" w:rsidRPr="005C5B65">
        <w:rPr>
          <w:rFonts w:ascii="Tahoma" w:hAnsi="Tahoma" w:cs="Tahoma"/>
          <w:color w:val="000000" w:themeColor="text1"/>
          <w:sz w:val="22"/>
          <w:szCs w:val="22"/>
          <w:lang w:val="sr-Cyrl-RS"/>
        </w:rPr>
        <w:t xml:space="preserve">пре свега </w:t>
      </w:r>
      <w:r w:rsidRPr="005C5B65">
        <w:rPr>
          <w:rFonts w:ascii="Tahoma" w:hAnsi="Tahoma" w:cs="Tahoma"/>
          <w:color w:val="000000" w:themeColor="text1"/>
          <w:sz w:val="22"/>
          <w:szCs w:val="22"/>
          <w:lang w:val="sr-Cyrl-RS"/>
        </w:rPr>
        <w:t>да буде на</w:t>
      </w:r>
      <w:r w:rsidR="00433530">
        <w:rPr>
          <w:rFonts w:ascii="Tahoma" w:hAnsi="Tahoma" w:cs="Tahoma"/>
          <w:color w:val="000000" w:themeColor="text1"/>
          <w:sz w:val="22"/>
          <w:szCs w:val="22"/>
          <w:lang w:val="sr-Cyrl-RS"/>
        </w:rPr>
        <w:t xml:space="preserve"> </w:t>
      </w:r>
      <w:r w:rsidR="00F633F0" w:rsidRPr="005C5B65">
        <w:rPr>
          <w:rFonts w:ascii="Tahoma" w:hAnsi="Tahoma" w:cs="Tahoma"/>
          <w:color w:val="000000" w:themeColor="text1"/>
          <w:sz w:val="22"/>
          <w:szCs w:val="22"/>
          <w:lang w:val="sr-Cyrl-RS"/>
        </w:rPr>
        <w:t xml:space="preserve">унапређењу доступности </w:t>
      </w:r>
      <w:r w:rsidR="00433530">
        <w:rPr>
          <w:rFonts w:ascii="Tahoma" w:hAnsi="Tahoma" w:cs="Tahoma"/>
          <w:color w:val="000000" w:themeColor="text1"/>
          <w:sz w:val="22"/>
          <w:szCs w:val="22"/>
          <w:lang w:val="sr-Cyrl-RS"/>
        </w:rPr>
        <w:t xml:space="preserve">услуге дневни боравак за децу са сметњама у развоју и на </w:t>
      </w:r>
      <w:r w:rsidR="0030697C">
        <w:rPr>
          <w:rFonts w:ascii="Tahoma" w:hAnsi="Tahoma" w:cs="Tahoma"/>
          <w:color w:val="000000" w:themeColor="text1"/>
          <w:sz w:val="22"/>
          <w:szCs w:val="22"/>
          <w:lang w:val="sr-Cyrl-RS"/>
        </w:rPr>
        <w:t>диверзификацији услуга.</w:t>
      </w:r>
      <w:r w:rsidR="00D017F2" w:rsidRPr="005C5B65">
        <w:rPr>
          <w:rFonts w:ascii="Tahoma" w:hAnsi="Tahoma" w:cs="Tahoma"/>
          <w:color w:val="000000" w:themeColor="text1"/>
          <w:sz w:val="22"/>
          <w:szCs w:val="22"/>
          <w:lang w:val="sr-Cyrl-RS"/>
        </w:rPr>
        <w:t xml:space="preserve"> </w:t>
      </w:r>
      <w:r w:rsidR="00B74A96">
        <w:rPr>
          <w:rFonts w:ascii="Tahoma" w:hAnsi="Tahoma" w:cs="Tahoma"/>
          <w:color w:val="000000" w:themeColor="text1"/>
          <w:sz w:val="22"/>
          <w:szCs w:val="22"/>
          <w:lang w:val="sr-Cyrl-RS"/>
        </w:rPr>
        <w:t xml:space="preserve">Локални акциони план за родну равноправност општине за период 2021-2025. године у делу анализе услуга социјалне заштите као приоритет истиче успостављање помоћи у кући за старе и </w:t>
      </w:r>
      <w:r w:rsidR="00AA7436">
        <w:rPr>
          <w:rFonts w:ascii="Tahoma" w:hAnsi="Tahoma" w:cs="Tahoma"/>
          <w:color w:val="000000" w:themeColor="text1"/>
          <w:sz w:val="22"/>
          <w:szCs w:val="22"/>
          <w:lang w:val="sr-Cyrl-RS"/>
        </w:rPr>
        <w:t xml:space="preserve">обезбеђење свеобухватног система </w:t>
      </w:r>
      <w:r w:rsidR="00B74A96">
        <w:rPr>
          <w:rFonts w:ascii="Tahoma" w:hAnsi="Tahoma" w:cs="Tahoma"/>
          <w:color w:val="000000" w:themeColor="text1"/>
          <w:sz w:val="22"/>
          <w:szCs w:val="22"/>
          <w:lang w:val="sr-Cyrl-RS"/>
        </w:rPr>
        <w:t>заштит</w:t>
      </w:r>
      <w:r w:rsidR="00AA7436">
        <w:rPr>
          <w:rFonts w:ascii="Tahoma" w:hAnsi="Tahoma" w:cs="Tahoma"/>
          <w:color w:val="000000" w:themeColor="text1"/>
          <w:sz w:val="22"/>
          <w:szCs w:val="22"/>
          <w:lang w:val="sr-Cyrl-RS"/>
        </w:rPr>
        <w:t>е</w:t>
      </w:r>
      <w:r w:rsidR="00B74A96">
        <w:rPr>
          <w:rFonts w:ascii="Tahoma" w:hAnsi="Tahoma" w:cs="Tahoma"/>
          <w:color w:val="000000" w:themeColor="text1"/>
          <w:sz w:val="22"/>
          <w:szCs w:val="22"/>
          <w:lang w:val="sr-Cyrl-RS"/>
        </w:rPr>
        <w:t xml:space="preserve"> жен</w:t>
      </w:r>
      <w:r w:rsidR="00AA7436">
        <w:rPr>
          <w:rFonts w:ascii="Tahoma" w:hAnsi="Tahoma" w:cs="Tahoma"/>
          <w:color w:val="000000" w:themeColor="text1"/>
          <w:sz w:val="22"/>
          <w:szCs w:val="22"/>
          <w:lang w:val="sr-Cyrl-RS"/>
        </w:rPr>
        <w:t>а које су жртве</w:t>
      </w:r>
      <w:r w:rsidR="00B74A96">
        <w:rPr>
          <w:rFonts w:ascii="Tahoma" w:hAnsi="Tahoma" w:cs="Tahoma"/>
          <w:color w:val="000000" w:themeColor="text1"/>
          <w:sz w:val="22"/>
          <w:szCs w:val="22"/>
          <w:lang w:val="sr-Cyrl-RS"/>
        </w:rPr>
        <w:t xml:space="preserve"> насиља.</w:t>
      </w:r>
      <w:r w:rsidR="00AA7436">
        <w:rPr>
          <w:rFonts w:ascii="Tahoma" w:hAnsi="Tahoma" w:cs="Tahoma"/>
          <w:color w:val="000000" w:themeColor="text1"/>
          <w:sz w:val="22"/>
          <w:szCs w:val="22"/>
          <w:lang w:val="sr-Cyrl-RS"/>
        </w:rPr>
        <w:t xml:space="preserve"> Међу мерама и активностима је предвиђено на пример п</w:t>
      </w:r>
      <w:r w:rsidR="00AA7436" w:rsidRPr="00AA7436">
        <w:rPr>
          <w:rFonts w:ascii="Tahoma" w:hAnsi="Tahoma" w:cs="Tahoma"/>
          <w:color w:val="000000" w:themeColor="text1"/>
          <w:sz w:val="22"/>
          <w:szCs w:val="22"/>
          <w:lang w:val="sr-Cyrl-RS"/>
        </w:rPr>
        <w:t>одизање капацитета институција надлежних за превенцију и сузбијање  насиља над женама  и пружање подршке жртвама насиља</w:t>
      </w:r>
      <w:r w:rsidR="00AA7436">
        <w:rPr>
          <w:rFonts w:ascii="Tahoma" w:hAnsi="Tahoma" w:cs="Tahoma"/>
          <w:color w:val="000000" w:themeColor="text1"/>
          <w:sz w:val="22"/>
          <w:szCs w:val="22"/>
          <w:lang w:val="sr-Cyrl-RS"/>
        </w:rPr>
        <w:t xml:space="preserve">, као и формирање мултисекторских </w:t>
      </w:r>
      <w:r w:rsidR="00AA7436" w:rsidRPr="00AA7436">
        <w:rPr>
          <w:rFonts w:ascii="Tahoma" w:hAnsi="Tahoma" w:cs="Tahoma"/>
          <w:color w:val="000000" w:themeColor="text1"/>
          <w:sz w:val="22"/>
          <w:szCs w:val="22"/>
          <w:lang w:val="sr-Cyrl-RS"/>
        </w:rPr>
        <w:t>мобилних тимова на локалном нивоу</w:t>
      </w:r>
      <w:r w:rsidR="00AA7436">
        <w:rPr>
          <w:rFonts w:ascii="Tahoma" w:hAnsi="Tahoma" w:cs="Tahoma"/>
          <w:color w:val="000000" w:themeColor="text1"/>
          <w:sz w:val="22"/>
          <w:szCs w:val="22"/>
          <w:lang w:val="sr-Cyrl-RS"/>
        </w:rPr>
        <w:t>.</w:t>
      </w:r>
    </w:p>
    <w:p w14:paraId="09044C2D" w14:textId="23BA444B" w:rsidR="005A223E" w:rsidRDefault="00D62F1D" w:rsidP="00FB6040">
      <w:pPr>
        <w:spacing w:after="160" w:line="259" w:lineRule="auto"/>
        <w:jc w:val="both"/>
        <w:rPr>
          <w:rFonts w:ascii="Tahoma" w:hAnsi="Tahoma" w:cs="Tahoma"/>
          <w:color w:val="000000" w:themeColor="text1"/>
          <w:sz w:val="22"/>
          <w:szCs w:val="22"/>
          <w:lang w:val="sr-Cyrl-RS"/>
        </w:rPr>
      </w:pPr>
      <w:r w:rsidRPr="00C73BA6">
        <w:rPr>
          <w:rFonts w:ascii="Tahoma" w:hAnsi="Tahoma" w:cs="Tahoma"/>
          <w:color w:val="000000" w:themeColor="text1"/>
          <w:sz w:val="22"/>
          <w:szCs w:val="22"/>
          <w:lang w:val="sr-Cyrl-RS"/>
        </w:rPr>
        <w:lastRenderedPageBreak/>
        <w:t xml:space="preserve">Додатно, повезивање са институцијама изван социјалне заштите посебно је важно имајући у виду неповољне податке </w:t>
      </w:r>
      <w:r w:rsidR="005A223E">
        <w:rPr>
          <w:rFonts w:ascii="Tahoma" w:hAnsi="Tahoma" w:cs="Tahoma"/>
          <w:color w:val="000000" w:themeColor="text1"/>
          <w:sz w:val="22"/>
          <w:szCs w:val="22"/>
          <w:lang w:val="sr-Cyrl-RS"/>
        </w:rPr>
        <w:t xml:space="preserve">о </w:t>
      </w:r>
      <w:r w:rsidR="00C73BA6" w:rsidRPr="00C73BA6">
        <w:rPr>
          <w:rFonts w:ascii="Tahoma" w:hAnsi="Tahoma" w:cs="Tahoma"/>
          <w:color w:val="000000" w:themeColor="text1"/>
          <w:sz w:val="22"/>
          <w:szCs w:val="22"/>
          <w:lang w:val="sr-Cyrl-RS"/>
        </w:rPr>
        <w:t xml:space="preserve">вакцинацији деце и </w:t>
      </w:r>
      <w:r w:rsidRPr="00C73BA6">
        <w:rPr>
          <w:rFonts w:ascii="Tahoma" w:hAnsi="Tahoma" w:cs="Tahoma"/>
          <w:color w:val="000000" w:themeColor="text1"/>
          <w:sz w:val="22"/>
          <w:szCs w:val="22"/>
          <w:lang w:val="sr-Cyrl-RS"/>
        </w:rPr>
        <w:t>о стопи смртности услед самоубистава</w:t>
      </w:r>
      <w:r w:rsidR="005A223E">
        <w:rPr>
          <w:rFonts w:ascii="Tahoma" w:hAnsi="Tahoma" w:cs="Tahoma"/>
          <w:color w:val="000000" w:themeColor="text1"/>
          <w:sz w:val="22"/>
          <w:szCs w:val="22"/>
          <w:lang w:val="sr-Cyrl-RS"/>
        </w:rPr>
        <w:t xml:space="preserve"> на нивоу десетогодишњег просека</w:t>
      </w:r>
      <w:r w:rsidR="00F633F0" w:rsidRPr="00C73BA6">
        <w:rPr>
          <w:rFonts w:ascii="Tahoma" w:hAnsi="Tahoma" w:cs="Tahoma"/>
          <w:color w:val="000000" w:themeColor="text1"/>
          <w:sz w:val="22"/>
          <w:szCs w:val="22"/>
          <w:lang w:val="sr-Cyrl-RS"/>
        </w:rPr>
        <w:t>.</w:t>
      </w:r>
      <w:r w:rsidR="00544E32" w:rsidRPr="00544E32">
        <w:rPr>
          <w:rStyle w:val="Heading1Char"/>
          <w:rFonts w:ascii="Tahoma" w:hAnsi="Tahoma" w:cs="Tahoma"/>
          <w:color w:val="000000" w:themeColor="text1"/>
          <w:sz w:val="22"/>
          <w:szCs w:val="22"/>
          <w:lang w:val="sr-Cyrl-RS"/>
        </w:rPr>
        <w:t xml:space="preserve"> </w:t>
      </w:r>
      <w:r w:rsidR="00544E32">
        <w:rPr>
          <w:rStyle w:val="FootnoteReference"/>
          <w:rFonts w:ascii="Tahoma" w:hAnsi="Tahoma" w:cs="Tahoma"/>
          <w:color w:val="000000" w:themeColor="text1"/>
          <w:sz w:val="22"/>
          <w:szCs w:val="22"/>
          <w:lang w:val="sr-Cyrl-RS"/>
        </w:rPr>
        <w:footnoteReference w:id="15"/>
      </w:r>
      <w:r w:rsidR="00F633F0" w:rsidRPr="006F4FA7">
        <w:rPr>
          <w:rFonts w:ascii="Tahoma" w:hAnsi="Tahoma" w:cs="Tahoma"/>
          <w:color w:val="000000" w:themeColor="text1"/>
          <w:sz w:val="22"/>
          <w:szCs w:val="22"/>
          <w:lang w:val="sr-Cyrl-RS"/>
        </w:rPr>
        <w:t xml:space="preserve"> </w:t>
      </w:r>
      <w:r w:rsidRPr="006F4FA7">
        <w:rPr>
          <w:rFonts w:ascii="Tahoma" w:hAnsi="Tahoma" w:cs="Tahoma"/>
          <w:color w:val="000000" w:themeColor="text1"/>
          <w:sz w:val="22"/>
          <w:szCs w:val="22"/>
          <w:lang w:val="sr-Cyrl-RS"/>
        </w:rPr>
        <w:t xml:space="preserve"> </w:t>
      </w:r>
    </w:p>
    <w:p w14:paraId="43914B41" w14:textId="36A0A9A8" w:rsidR="006F4FA7" w:rsidRPr="00544E32" w:rsidRDefault="00D62F1D" w:rsidP="00FB6040">
      <w:pPr>
        <w:spacing w:after="160" w:line="259" w:lineRule="auto"/>
        <w:jc w:val="both"/>
        <w:rPr>
          <w:rFonts w:ascii="Tahoma" w:hAnsi="Tahoma" w:cs="Tahoma"/>
          <w:sz w:val="22"/>
          <w:szCs w:val="22"/>
          <w:lang w:val="sr-Cyrl-RS"/>
        </w:rPr>
      </w:pPr>
      <w:r w:rsidRPr="006F4FA7">
        <w:rPr>
          <w:rFonts w:ascii="Tahoma" w:hAnsi="Tahoma" w:cs="Tahoma"/>
          <w:color w:val="000000" w:themeColor="text1"/>
          <w:sz w:val="22"/>
          <w:szCs w:val="22"/>
          <w:lang w:val="sr-Cyrl-RS"/>
        </w:rPr>
        <w:t xml:space="preserve">Унапређење услуга захтевало би наравно и </w:t>
      </w:r>
      <w:r w:rsidR="0030697C">
        <w:rPr>
          <w:rFonts w:ascii="Tahoma" w:hAnsi="Tahoma" w:cs="Tahoma"/>
          <w:color w:val="000000" w:themeColor="text1"/>
          <w:sz w:val="22"/>
          <w:szCs w:val="22"/>
          <w:lang w:val="sr-Cyrl-RS"/>
        </w:rPr>
        <w:t xml:space="preserve">значајна </w:t>
      </w:r>
      <w:r w:rsidRPr="006F4FA7">
        <w:rPr>
          <w:rFonts w:ascii="Tahoma" w:hAnsi="Tahoma" w:cs="Tahoma"/>
          <w:color w:val="000000" w:themeColor="text1"/>
          <w:sz w:val="22"/>
          <w:szCs w:val="22"/>
          <w:lang w:val="sr-Cyrl-RS"/>
        </w:rPr>
        <w:t>додатна улагања</w:t>
      </w:r>
      <w:r w:rsidR="0030697C">
        <w:rPr>
          <w:rFonts w:ascii="Tahoma" w:hAnsi="Tahoma" w:cs="Tahoma"/>
          <w:color w:val="000000" w:themeColor="text1"/>
          <w:sz w:val="22"/>
          <w:szCs w:val="22"/>
          <w:lang w:val="sr-Cyrl-RS"/>
        </w:rPr>
        <w:t xml:space="preserve">. </w:t>
      </w:r>
      <w:r w:rsidR="00544E32" w:rsidRPr="005516EB">
        <w:rPr>
          <w:rFonts w:ascii="Tahoma" w:hAnsi="Tahoma" w:cs="Tahoma"/>
          <w:color w:val="000000" w:themeColor="text1"/>
          <w:sz w:val="22"/>
          <w:szCs w:val="22"/>
          <w:lang w:val="sr-Cyrl-RS"/>
        </w:rPr>
        <w:t xml:space="preserve">Посебно је важно </w:t>
      </w:r>
      <w:r w:rsidR="00544E32">
        <w:rPr>
          <w:rFonts w:ascii="Tahoma" w:hAnsi="Tahoma" w:cs="Tahoma"/>
          <w:color w:val="000000" w:themeColor="text1"/>
          <w:sz w:val="22"/>
          <w:szCs w:val="22"/>
          <w:lang w:val="sr-Cyrl-RS"/>
        </w:rPr>
        <w:t xml:space="preserve">и </w:t>
      </w:r>
      <w:r w:rsidR="00544E32" w:rsidRPr="005516EB">
        <w:rPr>
          <w:rFonts w:ascii="Tahoma" w:hAnsi="Tahoma" w:cs="Tahoma"/>
          <w:color w:val="000000" w:themeColor="text1"/>
          <w:sz w:val="22"/>
          <w:szCs w:val="22"/>
          <w:lang w:val="sr-Cyrl-RS"/>
        </w:rPr>
        <w:t>питање обезбеђења довољног броја стручних радника у центру за социјални рад</w:t>
      </w:r>
      <w:r w:rsidR="00544E32">
        <w:rPr>
          <w:rFonts w:ascii="Tahoma" w:hAnsi="Tahoma" w:cs="Tahoma"/>
          <w:color w:val="000000" w:themeColor="text1"/>
          <w:sz w:val="22"/>
          <w:szCs w:val="22"/>
          <w:lang w:val="sr-Cyrl-RS"/>
        </w:rPr>
        <w:t>.</w:t>
      </w:r>
    </w:p>
    <w:p w14:paraId="47CD0B1C" w14:textId="27DBB408" w:rsidR="006F4FA7" w:rsidRPr="006F4FA7" w:rsidRDefault="00D62F1D" w:rsidP="00FB6040">
      <w:pPr>
        <w:spacing w:after="160" w:line="259" w:lineRule="auto"/>
        <w:jc w:val="both"/>
        <w:rPr>
          <w:rFonts w:ascii="Tahoma" w:hAnsi="Tahoma" w:cs="Tahoma"/>
          <w:color w:val="000000" w:themeColor="text1"/>
          <w:sz w:val="22"/>
          <w:szCs w:val="22"/>
          <w:lang w:val="sr-Cyrl-RS"/>
        </w:rPr>
      </w:pPr>
      <w:r w:rsidRPr="006F4FA7">
        <w:rPr>
          <w:rFonts w:ascii="Tahoma" w:hAnsi="Tahoma" w:cs="Tahoma"/>
          <w:color w:val="000000" w:themeColor="text1"/>
          <w:sz w:val="22"/>
          <w:szCs w:val="22"/>
          <w:lang w:val="sr-Cyrl-RS"/>
        </w:rPr>
        <w:t xml:space="preserve">С обзиром на </w:t>
      </w:r>
      <w:r w:rsidR="00C01FE0">
        <w:rPr>
          <w:rFonts w:ascii="Tahoma" w:hAnsi="Tahoma" w:cs="Tahoma"/>
          <w:color w:val="000000" w:themeColor="text1"/>
          <w:sz w:val="22"/>
          <w:szCs w:val="22"/>
          <w:lang w:val="sr-Cyrl-RS"/>
        </w:rPr>
        <w:t xml:space="preserve">релативно </w:t>
      </w:r>
      <w:r w:rsidRPr="006F4FA7">
        <w:rPr>
          <w:rFonts w:ascii="Tahoma" w:hAnsi="Tahoma" w:cs="Tahoma"/>
          <w:color w:val="000000" w:themeColor="text1"/>
          <w:sz w:val="22"/>
          <w:szCs w:val="22"/>
          <w:lang w:val="sr-Cyrl-RS"/>
        </w:rPr>
        <w:t xml:space="preserve">низак обухват програмом </w:t>
      </w:r>
      <w:r w:rsidR="004A1ED8" w:rsidRPr="006F4FA7">
        <w:rPr>
          <w:rFonts w:ascii="Tahoma" w:hAnsi="Tahoma" w:cs="Tahoma"/>
          <w:color w:val="000000" w:themeColor="text1"/>
          <w:sz w:val="22"/>
          <w:szCs w:val="22"/>
          <w:lang w:val="sr-Cyrl-RS"/>
        </w:rPr>
        <w:t>дечији додатак</w:t>
      </w:r>
      <w:r w:rsidRPr="006F4FA7">
        <w:rPr>
          <w:rFonts w:ascii="Tahoma" w:hAnsi="Tahoma" w:cs="Tahoma"/>
          <w:color w:val="000000" w:themeColor="text1"/>
          <w:sz w:val="22"/>
          <w:szCs w:val="22"/>
          <w:lang w:val="sr-Cyrl-RS"/>
        </w:rPr>
        <w:t xml:space="preserve">, </w:t>
      </w:r>
      <w:r w:rsidR="00C01FE0">
        <w:rPr>
          <w:rFonts w:ascii="Tahoma" w:hAnsi="Tahoma" w:cs="Tahoma"/>
          <w:color w:val="000000" w:themeColor="text1"/>
          <w:sz w:val="22"/>
          <w:szCs w:val="22"/>
          <w:lang w:val="sr-Cyrl-RS"/>
        </w:rPr>
        <w:t xml:space="preserve">посебно у делу са увећаним износима, </w:t>
      </w:r>
      <w:r w:rsidRPr="006F4FA7">
        <w:rPr>
          <w:rFonts w:ascii="Tahoma" w:hAnsi="Tahoma" w:cs="Tahoma"/>
          <w:color w:val="000000" w:themeColor="text1"/>
          <w:sz w:val="22"/>
          <w:szCs w:val="22"/>
          <w:lang w:val="sr-Cyrl-RS"/>
        </w:rPr>
        <w:t>додатни напор локалне самоуправе требао би да буде усмерен на ширењ</w:t>
      </w:r>
      <w:r w:rsidR="00DD35D6">
        <w:rPr>
          <w:rFonts w:ascii="Tahoma" w:hAnsi="Tahoma" w:cs="Tahoma"/>
          <w:color w:val="000000" w:themeColor="text1"/>
          <w:sz w:val="22"/>
          <w:szCs w:val="22"/>
          <w:lang w:val="sr-Cyrl-RS"/>
        </w:rPr>
        <w:t>е</w:t>
      </w:r>
      <w:r w:rsidRPr="006F4FA7">
        <w:rPr>
          <w:rFonts w:ascii="Tahoma" w:hAnsi="Tahoma" w:cs="Tahoma"/>
          <w:color w:val="000000" w:themeColor="text1"/>
          <w:sz w:val="22"/>
          <w:szCs w:val="22"/>
          <w:lang w:val="sr-Cyrl-RS"/>
        </w:rPr>
        <w:t xml:space="preserve"> информација, па и на помоћ угроженим лицима да остваре ов</w:t>
      </w:r>
      <w:r w:rsidR="004A1ED8" w:rsidRPr="006F4FA7">
        <w:rPr>
          <w:rFonts w:ascii="Tahoma" w:hAnsi="Tahoma" w:cs="Tahoma"/>
          <w:color w:val="000000" w:themeColor="text1"/>
          <w:sz w:val="22"/>
          <w:szCs w:val="22"/>
          <w:lang w:val="sr-Cyrl-RS"/>
        </w:rPr>
        <w:t>а</w:t>
      </w:r>
      <w:r w:rsidRPr="006F4FA7">
        <w:rPr>
          <w:rFonts w:ascii="Tahoma" w:hAnsi="Tahoma" w:cs="Tahoma"/>
          <w:color w:val="000000" w:themeColor="text1"/>
          <w:sz w:val="22"/>
          <w:szCs w:val="22"/>
          <w:lang w:val="sr-Cyrl-RS"/>
        </w:rPr>
        <w:t xml:space="preserve"> прав</w:t>
      </w:r>
      <w:r w:rsidR="004A1ED8" w:rsidRPr="006F4FA7">
        <w:rPr>
          <w:rFonts w:ascii="Tahoma" w:hAnsi="Tahoma" w:cs="Tahoma"/>
          <w:color w:val="000000" w:themeColor="text1"/>
          <w:sz w:val="22"/>
          <w:szCs w:val="22"/>
          <w:lang w:val="sr-Cyrl-RS"/>
        </w:rPr>
        <w:t>а</w:t>
      </w:r>
      <w:r w:rsidRPr="006F4FA7">
        <w:rPr>
          <w:rFonts w:ascii="Tahoma" w:hAnsi="Tahoma" w:cs="Tahoma"/>
          <w:color w:val="000000" w:themeColor="text1"/>
          <w:sz w:val="22"/>
          <w:szCs w:val="22"/>
          <w:lang w:val="sr-Cyrl-RS"/>
        </w:rPr>
        <w:t xml:space="preserve"> кој</w:t>
      </w:r>
      <w:r w:rsidR="004A1ED8" w:rsidRPr="006F4FA7">
        <w:rPr>
          <w:rFonts w:ascii="Tahoma" w:hAnsi="Tahoma" w:cs="Tahoma"/>
          <w:color w:val="000000" w:themeColor="text1"/>
          <w:sz w:val="22"/>
          <w:szCs w:val="22"/>
          <w:lang w:val="sr-Cyrl-RS"/>
        </w:rPr>
        <w:t>а</w:t>
      </w:r>
      <w:r w:rsidRPr="006F4FA7">
        <w:rPr>
          <w:rFonts w:ascii="Tahoma" w:hAnsi="Tahoma" w:cs="Tahoma"/>
          <w:color w:val="000000" w:themeColor="text1"/>
          <w:sz w:val="22"/>
          <w:szCs w:val="22"/>
          <w:lang w:val="sr-Cyrl-RS"/>
        </w:rPr>
        <w:t xml:space="preserve"> се финансира</w:t>
      </w:r>
      <w:r w:rsidR="004A1ED8" w:rsidRPr="006F4FA7">
        <w:rPr>
          <w:rFonts w:ascii="Tahoma" w:hAnsi="Tahoma" w:cs="Tahoma"/>
          <w:color w:val="000000" w:themeColor="text1"/>
          <w:sz w:val="22"/>
          <w:szCs w:val="22"/>
          <w:lang w:val="sr-Cyrl-RS"/>
        </w:rPr>
        <w:t>ју</w:t>
      </w:r>
      <w:r w:rsidRPr="006F4FA7">
        <w:rPr>
          <w:rFonts w:ascii="Tahoma" w:hAnsi="Tahoma" w:cs="Tahoma"/>
          <w:color w:val="000000" w:themeColor="text1"/>
          <w:sz w:val="22"/>
          <w:szCs w:val="22"/>
          <w:lang w:val="sr-Cyrl-RS"/>
        </w:rPr>
        <w:t xml:space="preserve"> са националног нивоа.</w:t>
      </w:r>
      <w:r w:rsidR="00632251" w:rsidRPr="006F4FA7">
        <w:rPr>
          <w:rFonts w:ascii="Tahoma" w:hAnsi="Tahoma" w:cs="Tahoma"/>
          <w:color w:val="000000" w:themeColor="text1"/>
          <w:sz w:val="22"/>
          <w:szCs w:val="22"/>
          <w:lang w:val="sr-Cyrl-RS"/>
        </w:rPr>
        <w:t xml:space="preserve"> </w:t>
      </w:r>
    </w:p>
    <w:p w14:paraId="6F8A9398" w14:textId="00C33C14" w:rsidR="006F4FA7" w:rsidRPr="006F4FA7" w:rsidRDefault="00632251" w:rsidP="00FB6040">
      <w:pPr>
        <w:spacing w:after="160" w:line="259" w:lineRule="auto"/>
        <w:jc w:val="both"/>
        <w:rPr>
          <w:rFonts w:ascii="Tahoma" w:hAnsi="Tahoma" w:cs="Tahoma"/>
          <w:color w:val="000000" w:themeColor="text1"/>
          <w:sz w:val="22"/>
          <w:szCs w:val="22"/>
          <w:lang w:val="sr-Cyrl-RS"/>
        </w:rPr>
      </w:pPr>
      <w:r w:rsidRPr="006F4FA7">
        <w:rPr>
          <w:rFonts w:ascii="Tahoma" w:hAnsi="Tahoma" w:cs="Tahoma"/>
          <w:color w:val="000000" w:themeColor="text1"/>
          <w:sz w:val="22"/>
          <w:szCs w:val="22"/>
          <w:lang w:val="sr-Cyrl-RS"/>
        </w:rPr>
        <w:t>Имајући у виду повећан</w:t>
      </w:r>
      <w:r w:rsidR="004A1ED8" w:rsidRPr="006F4FA7">
        <w:rPr>
          <w:rFonts w:ascii="Tahoma" w:hAnsi="Tahoma" w:cs="Tahoma"/>
          <w:color w:val="000000" w:themeColor="text1"/>
          <w:sz w:val="22"/>
          <w:szCs w:val="22"/>
          <w:lang w:val="sr-Cyrl-RS"/>
        </w:rPr>
        <w:t>е износе</w:t>
      </w:r>
      <w:r w:rsidR="00C4263B" w:rsidRPr="006F4FA7">
        <w:rPr>
          <w:rFonts w:ascii="Tahoma" w:hAnsi="Tahoma" w:cs="Tahoma"/>
          <w:color w:val="000000" w:themeColor="text1"/>
          <w:sz w:val="22"/>
          <w:szCs w:val="22"/>
          <w:lang w:val="sr-Cyrl-RS"/>
        </w:rPr>
        <w:t xml:space="preserve"> родитељск</w:t>
      </w:r>
      <w:r w:rsidR="004A1ED8" w:rsidRPr="006F4FA7">
        <w:rPr>
          <w:rFonts w:ascii="Tahoma" w:hAnsi="Tahoma" w:cs="Tahoma"/>
          <w:color w:val="000000" w:themeColor="text1"/>
          <w:sz w:val="22"/>
          <w:szCs w:val="22"/>
          <w:lang w:val="sr-Cyrl-RS"/>
        </w:rPr>
        <w:t>ог</w:t>
      </w:r>
      <w:r w:rsidR="00C4263B" w:rsidRPr="006F4FA7">
        <w:rPr>
          <w:rFonts w:ascii="Tahoma" w:hAnsi="Tahoma" w:cs="Tahoma"/>
          <w:color w:val="000000" w:themeColor="text1"/>
          <w:sz w:val="22"/>
          <w:szCs w:val="22"/>
          <w:lang w:val="sr-Cyrl-RS"/>
        </w:rPr>
        <w:t xml:space="preserve"> додат</w:t>
      </w:r>
      <w:r w:rsidR="004A1ED8" w:rsidRPr="006F4FA7">
        <w:rPr>
          <w:rFonts w:ascii="Tahoma" w:hAnsi="Tahoma" w:cs="Tahoma"/>
          <w:color w:val="000000" w:themeColor="text1"/>
          <w:sz w:val="22"/>
          <w:szCs w:val="22"/>
          <w:lang w:val="sr-Cyrl-RS"/>
        </w:rPr>
        <w:t>ка</w:t>
      </w:r>
      <w:r w:rsidRPr="006F4FA7">
        <w:rPr>
          <w:rFonts w:ascii="Tahoma" w:hAnsi="Tahoma" w:cs="Tahoma"/>
          <w:color w:val="000000" w:themeColor="text1"/>
          <w:sz w:val="22"/>
          <w:szCs w:val="22"/>
          <w:lang w:val="sr-Cyrl-RS"/>
        </w:rPr>
        <w:t xml:space="preserve"> </w:t>
      </w:r>
      <w:r w:rsidR="00C01FE0">
        <w:rPr>
          <w:rFonts w:ascii="Tahoma" w:hAnsi="Tahoma" w:cs="Tahoma"/>
          <w:color w:val="000000" w:themeColor="text1"/>
          <w:sz w:val="22"/>
          <w:szCs w:val="22"/>
          <w:lang w:val="sr-Cyrl-RS"/>
        </w:rPr>
        <w:t xml:space="preserve">за прво дете </w:t>
      </w:r>
      <w:r w:rsidR="00C4263B" w:rsidRPr="006F4FA7">
        <w:rPr>
          <w:rFonts w:ascii="Tahoma" w:hAnsi="Tahoma" w:cs="Tahoma"/>
          <w:color w:val="000000" w:themeColor="text1"/>
          <w:sz w:val="22"/>
          <w:szCs w:val="22"/>
          <w:lang w:val="sr-Cyrl-RS"/>
        </w:rPr>
        <w:t>након</w:t>
      </w:r>
      <w:r w:rsidRPr="006F4FA7">
        <w:rPr>
          <w:rFonts w:ascii="Tahoma" w:hAnsi="Tahoma" w:cs="Tahoma"/>
          <w:color w:val="000000" w:themeColor="text1"/>
          <w:sz w:val="22"/>
          <w:szCs w:val="22"/>
          <w:lang w:val="sr-Cyrl-RS"/>
        </w:rPr>
        <w:t xml:space="preserve"> доношењ</w:t>
      </w:r>
      <w:r w:rsidR="00C4263B" w:rsidRPr="006F4FA7">
        <w:rPr>
          <w:rFonts w:ascii="Tahoma" w:hAnsi="Tahoma" w:cs="Tahoma"/>
          <w:color w:val="000000" w:themeColor="text1"/>
          <w:sz w:val="22"/>
          <w:szCs w:val="22"/>
          <w:lang w:val="sr-Cyrl-RS"/>
        </w:rPr>
        <w:t>а</w:t>
      </w:r>
      <w:r w:rsidRPr="006F4FA7">
        <w:rPr>
          <w:rFonts w:ascii="Tahoma" w:hAnsi="Tahoma" w:cs="Tahoma"/>
          <w:color w:val="000000" w:themeColor="text1"/>
          <w:sz w:val="22"/>
          <w:szCs w:val="22"/>
          <w:lang w:val="sr-Cyrl-RS"/>
        </w:rPr>
        <w:t xml:space="preserve"> новог Закона о финансијској подршци породицама са децом</w:t>
      </w:r>
      <w:r w:rsidR="00C2739F" w:rsidRPr="006F4FA7">
        <w:rPr>
          <w:rFonts w:ascii="Tahoma" w:hAnsi="Tahoma" w:cs="Tahoma"/>
          <w:color w:val="000000" w:themeColor="text1"/>
          <w:sz w:val="22"/>
          <w:szCs w:val="22"/>
          <w:lang w:val="sr-Cyrl-RS"/>
        </w:rPr>
        <w:t xml:space="preserve"> </w:t>
      </w:r>
      <w:r w:rsidRPr="006F4FA7">
        <w:rPr>
          <w:rFonts w:ascii="Tahoma" w:hAnsi="Tahoma" w:cs="Tahoma"/>
          <w:color w:val="000000" w:themeColor="text1"/>
          <w:sz w:val="22"/>
          <w:szCs w:val="22"/>
          <w:lang w:val="sr-Cyrl-RS"/>
        </w:rPr>
        <w:t xml:space="preserve">треба преиспитати материјална давања </w:t>
      </w:r>
      <w:r w:rsidR="00C4263B" w:rsidRPr="006F4FA7">
        <w:rPr>
          <w:rFonts w:ascii="Tahoma" w:hAnsi="Tahoma" w:cs="Tahoma"/>
          <w:color w:val="000000" w:themeColor="text1"/>
          <w:sz w:val="22"/>
          <w:szCs w:val="22"/>
          <w:lang w:val="sr-Cyrl-RS"/>
        </w:rPr>
        <w:t xml:space="preserve">на локалном нивоу </w:t>
      </w:r>
      <w:r w:rsidR="003107BB" w:rsidRPr="006F4FA7">
        <w:rPr>
          <w:rFonts w:ascii="Tahoma" w:hAnsi="Tahoma" w:cs="Tahoma"/>
          <w:color w:val="000000" w:themeColor="text1"/>
          <w:sz w:val="22"/>
          <w:szCs w:val="22"/>
          <w:lang w:val="sr-Cyrl-RS"/>
        </w:rPr>
        <w:t xml:space="preserve">која се </w:t>
      </w:r>
      <w:r w:rsidR="00C01FE0">
        <w:rPr>
          <w:rFonts w:ascii="Tahoma" w:hAnsi="Tahoma" w:cs="Tahoma"/>
          <w:color w:val="000000" w:themeColor="text1"/>
          <w:sz w:val="22"/>
          <w:szCs w:val="22"/>
          <w:lang w:val="sr-Cyrl-RS"/>
        </w:rPr>
        <w:t>додељују при рођењу прворођенчади</w:t>
      </w:r>
      <w:r w:rsidR="00A43306" w:rsidRPr="006F4FA7">
        <w:rPr>
          <w:rFonts w:ascii="Tahoma" w:hAnsi="Tahoma" w:cs="Tahoma"/>
          <w:color w:val="000000" w:themeColor="text1"/>
          <w:sz w:val="22"/>
          <w:szCs w:val="22"/>
          <w:lang w:val="sr-Cyrl-RS"/>
        </w:rPr>
        <w:t>.</w:t>
      </w:r>
      <w:r w:rsidR="00B07084">
        <w:rPr>
          <w:rFonts w:ascii="Tahoma" w:hAnsi="Tahoma" w:cs="Tahoma"/>
          <w:color w:val="000000" w:themeColor="text1"/>
          <w:sz w:val="22"/>
          <w:szCs w:val="22"/>
          <w:lang w:val="sr-Cyrl-RS"/>
        </w:rPr>
        <w:t xml:space="preserve"> С обзиром да према проценама значајан број старих није остварио право на пензију, важно је да се и овој популације помогне, и у приступу програму НСП и у виду додатне материјалне подршке са локалног нивоа.</w:t>
      </w:r>
    </w:p>
    <w:p w14:paraId="63694222" w14:textId="55595A0E" w:rsidR="001170BE" w:rsidRPr="006F4FA7" w:rsidRDefault="00D62F1D" w:rsidP="00FB6040">
      <w:pPr>
        <w:spacing w:after="160" w:line="259" w:lineRule="auto"/>
        <w:jc w:val="both"/>
        <w:rPr>
          <w:rFonts w:ascii="Tahoma" w:hAnsi="Tahoma" w:cs="Tahoma"/>
          <w:color w:val="000000" w:themeColor="text1"/>
          <w:sz w:val="22"/>
          <w:szCs w:val="22"/>
          <w:lang w:val="sr-Cyrl-RS"/>
        </w:rPr>
      </w:pPr>
      <w:r w:rsidRPr="006F4FA7">
        <w:rPr>
          <w:rFonts w:ascii="Tahoma" w:hAnsi="Tahoma" w:cs="Tahoma"/>
          <w:color w:val="000000" w:themeColor="text1"/>
          <w:sz w:val="22"/>
          <w:szCs w:val="22"/>
          <w:lang w:val="sr-Cyrl-RS"/>
        </w:rPr>
        <w:t>Најзад, израда</w:t>
      </w:r>
      <w:r w:rsidR="00476098" w:rsidRPr="006F4FA7">
        <w:rPr>
          <w:rFonts w:ascii="Tahoma" w:hAnsi="Tahoma" w:cs="Tahoma"/>
          <w:color w:val="000000" w:themeColor="text1"/>
          <w:sz w:val="22"/>
          <w:szCs w:val="22"/>
          <w:lang w:val="sr-Latn-RS"/>
        </w:rPr>
        <w:t>/</w:t>
      </w:r>
      <w:r w:rsidR="00476098" w:rsidRPr="006F4FA7">
        <w:rPr>
          <w:rFonts w:ascii="Tahoma" w:hAnsi="Tahoma" w:cs="Tahoma"/>
          <w:color w:val="000000" w:themeColor="text1"/>
          <w:sz w:val="22"/>
          <w:szCs w:val="22"/>
          <w:lang w:val="sr-Cyrl-RS"/>
        </w:rPr>
        <w:t>усвајање</w:t>
      </w:r>
      <w:r w:rsidRPr="006F4FA7">
        <w:rPr>
          <w:rFonts w:ascii="Tahoma" w:hAnsi="Tahoma" w:cs="Tahoma"/>
          <w:color w:val="000000" w:themeColor="text1"/>
          <w:sz w:val="22"/>
          <w:szCs w:val="22"/>
          <w:lang w:val="sr-Cyrl-RS"/>
        </w:rPr>
        <w:t xml:space="preserve"> стратешких докумената и планова у области социјалне заштите би свакако омогућила свеобухватније сагледавање проблема, утврђивање приоритета и </w:t>
      </w:r>
      <w:r w:rsidR="00B07084">
        <w:rPr>
          <w:rFonts w:ascii="Tahoma" w:hAnsi="Tahoma" w:cs="Tahoma"/>
          <w:color w:val="000000" w:themeColor="text1"/>
          <w:sz w:val="22"/>
          <w:szCs w:val="22"/>
          <w:lang w:val="sr-Cyrl-RS"/>
        </w:rPr>
        <w:t xml:space="preserve">потребних финансијских средстава, као и </w:t>
      </w:r>
      <w:r w:rsidRPr="006F4FA7">
        <w:rPr>
          <w:rFonts w:ascii="Tahoma" w:hAnsi="Tahoma" w:cs="Tahoma"/>
          <w:color w:val="000000" w:themeColor="text1"/>
          <w:sz w:val="22"/>
          <w:szCs w:val="22"/>
          <w:lang w:val="sr-Cyrl-RS"/>
        </w:rPr>
        <w:t>праћење напретка.</w:t>
      </w:r>
    </w:p>
    <w:p w14:paraId="7E87F0FC" w14:textId="2211CEF5" w:rsidR="00C249FB" w:rsidRPr="00745A09" w:rsidRDefault="00C249FB" w:rsidP="007327A7">
      <w:pPr>
        <w:pStyle w:val="Heading1"/>
        <w:spacing w:before="0" w:after="160" w:line="259" w:lineRule="auto"/>
        <w:jc w:val="both"/>
        <w:rPr>
          <w:rFonts w:ascii="Tahoma" w:hAnsi="Tahoma" w:cs="Tahoma"/>
          <w:b/>
          <w:bCs/>
          <w:color w:val="2F5496"/>
          <w:lang w:val="sr-Cyrl-RS"/>
        </w:rPr>
      </w:pPr>
      <w:r w:rsidRPr="0063169A">
        <w:rPr>
          <w:rFonts w:ascii="Tahoma" w:hAnsi="Tahoma" w:cs="Tahoma"/>
          <w:b/>
          <w:bCs/>
          <w:color w:val="2F5496"/>
          <w:lang w:val="sr-Cyrl-RS"/>
        </w:rPr>
        <w:t>З</w:t>
      </w:r>
      <w:r w:rsidR="0063169A">
        <w:rPr>
          <w:rFonts w:ascii="Tahoma" w:hAnsi="Tahoma" w:cs="Tahoma"/>
          <w:b/>
          <w:bCs/>
          <w:color w:val="2F5496"/>
          <w:lang w:val="sr-Cyrl-RS"/>
        </w:rPr>
        <w:t>дравств</w:t>
      </w:r>
      <w:r w:rsidR="002C7E91">
        <w:rPr>
          <w:rFonts w:ascii="Tahoma" w:hAnsi="Tahoma" w:cs="Tahoma"/>
          <w:b/>
          <w:bCs/>
          <w:color w:val="2F5496"/>
          <w:lang w:val="sr-Cyrl-RS"/>
        </w:rPr>
        <w:t>ена заштита</w:t>
      </w:r>
    </w:p>
    <w:p w14:paraId="4034FF23" w14:textId="77777777" w:rsidR="00C249FB" w:rsidRPr="00382579" w:rsidRDefault="00C249FB" w:rsidP="007327A7">
      <w:pPr>
        <w:spacing w:after="160" w:line="259" w:lineRule="auto"/>
        <w:jc w:val="both"/>
        <w:rPr>
          <w:rFonts w:ascii="Tahoma" w:hAnsi="Tahoma" w:cs="Tahoma"/>
          <w:bCs/>
          <w:sz w:val="22"/>
          <w:szCs w:val="22"/>
          <w:lang w:val="sr-Cyrl-RS"/>
        </w:rPr>
      </w:pPr>
      <w:r w:rsidRPr="00382579">
        <w:rPr>
          <w:rFonts w:ascii="Tahoma" w:hAnsi="Tahoma" w:cs="Tahoma"/>
          <w:bCs/>
          <w:sz w:val="22"/>
          <w:szCs w:val="22"/>
          <w:lang w:val="sr-Cyrl-RS"/>
        </w:rPr>
        <w:t xml:space="preserve">Здравствена заштита у Србији је претежно у надлежности националног нивоа, поготово од доношења новог Закона о здравственој заштити 2019. године, када и оснивачка права за установе примарне здравствене заштите прелазе са јединица локалне самоуправе на Републику, односно аутономну покрајину. Према новим законским решењима јединице локалне самоуправе остају оснивачи само апотекарских установа на својој територији. </w:t>
      </w:r>
    </w:p>
    <w:p w14:paraId="6D6E6DDF" w14:textId="41D2D754" w:rsidR="00C249FB" w:rsidRPr="00382579" w:rsidRDefault="00C249FB" w:rsidP="007327A7">
      <w:pPr>
        <w:spacing w:after="160" w:line="259" w:lineRule="auto"/>
        <w:jc w:val="both"/>
        <w:rPr>
          <w:rFonts w:ascii="Tahoma" w:hAnsi="Tahoma" w:cs="Tahoma"/>
          <w:bCs/>
          <w:sz w:val="22"/>
          <w:szCs w:val="22"/>
          <w:lang w:val="sr-Cyrl-RS"/>
        </w:rPr>
      </w:pPr>
      <w:r w:rsidRPr="00382579">
        <w:rPr>
          <w:rFonts w:ascii="Tahoma" w:hAnsi="Tahoma" w:cs="Tahoma"/>
          <w:bCs/>
          <w:sz w:val="22"/>
          <w:szCs w:val="22"/>
          <w:lang w:val="sr-Cyrl-RS"/>
        </w:rPr>
        <w:t>Друштвена брига за здравље на нивоу ЈЛС</w:t>
      </w:r>
      <w:r w:rsidR="00C17C75" w:rsidRPr="00382579">
        <w:rPr>
          <w:rFonts w:ascii="Tahoma" w:hAnsi="Tahoma" w:cs="Tahoma"/>
          <w:bCs/>
          <w:sz w:val="22"/>
          <w:szCs w:val="22"/>
          <w:lang w:val="sr-Cyrl-RS"/>
        </w:rPr>
        <w:t xml:space="preserve"> </w:t>
      </w:r>
      <w:r w:rsidRPr="00382579">
        <w:rPr>
          <w:rFonts w:ascii="Tahoma" w:hAnsi="Tahoma" w:cs="Tahoma"/>
          <w:bCs/>
          <w:sz w:val="22"/>
          <w:szCs w:val="22"/>
          <w:lang w:val="sr-Cyrl-RS"/>
        </w:rPr>
        <w:t>између осталог подразумева праћење здравственог стања становништва и рада система здравствене заштите, као и стварање услова за приступачност и уједначеност коришћења примарне здравствене заштите. Важан део друштвене бриге за здравље на нивоу ЈЛС остаје доношење и спровођење програма за очување и заштиту здравља од загађења животне средине, као и систематско испитивање исправности и квалитета животних намирница, воде за пиће и сличних фактора ризика који могу штетно да утичу на здравље. ЈЛС обезбеђују и средства за вршење оснивачких права над здравственим установама чији су оснивач (односно апотекама). Уколико обезбеде средства у буџету, општине и градови могу и додатно да улажу у здравствене установе у јавној својини на својој територији како би се повећала доступност и приступачност (изнад норматива и стандарда који су предвиђени за простор, опрему, кадров</w:t>
      </w:r>
      <w:r w:rsidR="00382579">
        <w:rPr>
          <w:rFonts w:ascii="Tahoma" w:hAnsi="Tahoma" w:cs="Tahoma"/>
          <w:bCs/>
          <w:sz w:val="22"/>
          <w:szCs w:val="22"/>
          <w:lang w:val="sr-Cyrl-RS"/>
        </w:rPr>
        <w:t>е, и др.</w:t>
      </w:r>
      <w:r w:rsidRPr="00382579">
        <w:rPr>
          <w:rFonts w:ascii="Tahoma" w:hAnsi="Tahoma" w:cs="Tahoma"/>
          <w:bCs/>
          <w:sz w:val="22"/>
          <w:szCs w:val="22"/>
          <w:lang w:val="sr-Cyrl-RS"/>
        </w:rPr>
        <w:t xml:space="preserve">). Јединица локалне самоуправе обезбеђује и рад </w:t>
      </w:r>
      <w:proofErr w:type="spellStart"/>
      <w:r w:rsidRPr="00382579">
        <w:rPr>
          <w:rFonts w:ascii="Tahoma" w:hAnsi="Tahoma" w:cs="Tahoma"/>
          <w:bCs/>
          <w:sz w:val="22"/>
          <w:szCs w:val="22"/>
          <w:lang w:val="sr-Cyrl-RS"/>
        </w:rPr>
        <w:t>мртвозорске</w:t>
      </w:r>
      <w:proofErr w:type="spellEnd"/>
      <w:r w:rsidRPr="00382579">
        <w:rPr>
          <w:rFonts w:ascii="Tahoma" w:hAnsi="Tahoma" w:cs="Tahoma"/>
          <w:bCs/>
          <w:sz w:val="22"/>
          <w:szCs w:val="22"/>
          <w:lang w:val="sr-Cyrl-RS"/>
        </w:rPr>
        <w:t xml:space="preserve"> службе.</w:t>
      </w:r>
    </w:p>
    <w:p w14:paraId="246DBED1" w14:textId="38D31009" w:rsidR="00C249FB" w:rsidRPr="00EB1352" w:rsidRDefault="00EB1352" w:rsidP="007327A7">
      <w:pPr>
        <w:spacing w:after="160" w:line="259" w:lineRule="auto"/>
        <w:jc w:val="both"/>
        <w:rPr>
          <w:rFonts w:ascii="Tahoma" w:hAnsi="Tahoma" w:cs="Tahoma"/>
          <w:strike/>
          <w:color w:val="000000" w:themeColor="text1"/>
          <w:sz w:val="22"/>
          <w:szCs w:val="22"/>
          <w:lang w:val="sr-Cyrl-RS"/>
        </w:rPr>
      </w:pPr>
      <w:r>
        <w:rPr>
          <w:rFonts w:ascii="Tahoma" w:hAnsi="Tahoma" w:cs="Tahoma"/>
          <w:b/>
          <w:bCs/>
          <w:iCs/>
          <w:color w:val="2F5496" w:themeColor="accent1" w:themeShade="BF"/>
          <w:sz w:val="22"/>
          <w:szCs w:val="22"/>
          <w:lang w:val="sr-Cyrl-RS"/>
        </w:rPr>
        <w:lastRenderedPageBreak/>
        <w:t>Смедеревска Паланка</w:t>
      </w:r>
      <w:r w:rsidR="004E246A" w:rsidRPr="00315889">
        <w:rPr>
          <w:rFonts w:ascii="Tahoma" w:hAnsi="Tahoma" w:cs="Tahoma"/>
          <w:b/>
          <w:bCs/>
          <w:iCs/>
          <w:color w:val="2F5496" w:themeColor="accent1" w:themeShade="BF"/>
          <w:sz w:val="22"/>
          <w:szCs w:val="22"/>
          <w:lang w:val="sr-Cyrl-RS"/>
        </w:rPr>
        <w:t xml:space="preserve"> </w:t>
      </w:r>
      <w:r w:rsidR="00C249FB" w:rsidRPr="00315889">
        <w:rPr>
          <w:rFonts w:ascii="Tahoma" w:hAnsi="Tahoma" w:cs="Tahoma"/>
          <w:b/>
          <w:bCs/>
          <w:iCs/>
          <w:color w:val="2F5496" w:themeColor="accent1" w:themeShade="BF"/>
          <w:sz w:val="22"/>
          <w:szCs w:val="22"/>
          <w:lang w:val="sr-Cyrl-RS"/>
        </w:rPr>
        <w:t>је за здравство издвоји</w:t>
      </w:r>
      <w:r w:rsidR="00284BED" w:rsidRPr="00315889">
        <w:rPr>
          <w:rFonts w:ascii="Tahoma" w:hAnsi="Tahoma" w:cs="Tahoma"/>
          <w:b/>
          <w:bCs/>
          <w:iCs/>
          <w:color w:val="2F5496" w:themeColor="accent1" w:themeShade="BF"/>
          <w:sz w:val="22"/>
          <w:szCs w:val="22"/>
          <w:lang w:val="sr-Cyrl-RS"/>
        </w:rPr>
        <w:t>л</w:t>
      </w:r>
      <w:r w:rsidR="004E246A" w:rsidRPr="00315889">
        <w:rPr>
          <w:rFonts w:ascii="Tahoma" w:hAnsi="Tahoma" w:cs="Tahoma"/>
          <w:b/>
          <w:bCs/>
          <w:iCs/>
          <w:color w:val="2F5496" w:themeColor="accent1" w:themeShade="BF"/>
          <w:sz w:val="22"/>
          <w:szCs w:val="22"/>
          <w:lang w:val="sr-Cyrl-RS"/>
        </w:rPr>
        <w:t>о</w:t>
      </w:r>
      <w:r w:rsidR="00D63261" w:rsidRPr="00315889">
        <w:rPr>
          <w:rFonts w:ascii="Tahoma" w:hAnsi="Tahoma" w:cs="Tahoma"/>
          <w:b/>
          <w:bCs/>
          <w:iCs/>
          <w:color w:val="2F5496" w:themeColor="accent1" w:themeShade="BF"/>
          <w:sz w:val="22"/>
          <w:szCs w:val="22"/>
          <w:lang w:val="sr-Cyrl-RS"/>
        </w:rPr>
        <w:t xml:space="preserve"> </w:t>
      </w:r>
      <w:r w:rsidR="008B2FDD" w:rsidRPr="00315889">
        <w:rPr>
          <w:rFonts w:ascii="Tahoma" w:hAnsi="Tahoma" w:cs="Tahoma"/>
          <w:b/>
          <w:bCs/>
          <w:iCs/>
          <w:color w:val="2F5496" w:themeColor="accent1" w:themeShade="BF"/>
          <w:sz w:val="22"/>
          <w:szCs w:val="22"/>
          <w:lang w:val="sr-Cyrl-RS"/>
        </w:rPr>
        <w:t>1</w:t>
      </w:r>
      <w:r>
        <w:rPr>
          <w:rFonts w:ascii="Tahoma" w:hAnsi="Tahoma" w:cs="Tahoma"/>
          <w:b/>
          <w:bCs/>
          <w:iCs/>
          <w:color w:val="2F5496" w:themeColor="accent1" w:themeShade="BF"/>
          <w:sz w:val="22"/>
          <w:szCs w:val="22"/>
          <w:lang w:val="sr-Cyrl-RS"/>
        </w:rPr>
        <w:t>0</w:t>
      </w:r>
      <w:r w:rsidR="008B2FDD" w:rsidRPr="00315889">
        <w:rPr>
          <w:rFonts w:ascii="Tahoma" w:hAnsi="Tahoma" w:cs="Tahoma"/>
          <w:b/>
          <w:bCs/>
          <w:iCs/>
          <w:color w:val="2F5496" w:themeColor="accent1" w:themeShade="BF"/>
          <w:sz w:val="22"/>
          <w:szCs w:val="22"/>
          <w:lang w:val="sr-Cyrl-RS"/>
        </w:rPr>
        <w:t>,</w:t>
      </w:r>
      <w:r>
        <w:rPr>
          <w:rFonts w:ascii="Tahoma" w:hAnsi="Tahoma" w:cs="Tahoma"/>
          <w:b/>
          <w:bCs/>
          <w:iCs/>
          <w:color w:val="2F5496" w:themeColor="accent1" w:themeShade="BF"/>
          <w:sz w:val="22"/>
          <w:szCs w:val="22"/>
          <w:lang w:val="sr-Cyrl-RS"/>
        </w:rPr>
        <w:t>3</w:t>
      </w:r>
      <w:r w:rsidR="00C249FB" w:rsidRPr="00315889">
        <w:rPr>
          <w:rFonts w:ascii="Tahoma" w:hAnsi="Tahoma" w:cs="Tahoma"/>
          <w:b/>
          <w:bCs/>
          <w:iCs/>
          <w:color w:val="2F5496" w:themeColor="accent1" w:themeShade="BF"/>
          <w:sz w:val="22"/>
          <w:szCs w:val="22"/>
          <w:lang w:val="sr-Cyrl-RS"/>
        </w:rPr>
        <w:t xml:space="preserve"> милиона РСД 20</w:t>
      </w:r>
      <w:r w:rsidR="008F6345" w:rsidRPr="00315889">
        <w:rPr>
          <w:rFonts w:ascii="Tahoma" w:hAnsi="Tahoma" w:cs="Tahoma"/>
          <w:b/>
          <w:bCs/>
          <w:iCs/>
          <w:color w:val="2F5496" w:themeColor="accent1" w:themeShade="BF"/>
          <w:sz w:val="22"/>
          <w:szCs w:val="22"/>
          <w:lang w:val="sr-Latn-RS"/>
        </w:rPr>
        <w:t>20</w:t>
      </w:r>
      <w:r w:rsidR="00C249FB" w:rsidRPr="00315889">
        <w:rPr>
          <w:rFonts w:ascii="Tahoma" w:hAnsi="Tahoma" w:cs="Tahoma"/>
          <w:b/>
          <w:bCs/>
          <w:iCs/>
          <w:color w:val="2F5496" w:themeColor="accent1" w:themeShade="BF"/>
          <w:sz w:val="22"/>
          <w:szCs w:val="22"/>
          <w:lang w:val="sr-Cyrl-RS"/>
        </w:rPr>
        <w:t>. године.</w:t>
      </w:r>
      <w:r w:rsidR="00C17C75" w:rsidRPr="00315889">
        <w:rPr>
          <w:rFonts w:ascii="Tahoma" w:hAnsi="Tahoma" w:cs="Tahoma"/>
          <w:b/>
          <w:bCs/>
          <w:iCs/>
          <w:color w:val="2F5496" w:themeColor="accent1" w:themeShade="BF"/>
          <w:sz w:val="22"/>
          <w:szCs w:val="22"/>
          <w:lang w:val="sr-Cyrl-RS"/>
        </w:rPr>
        <w:t xml:space="preserve"> </w:t>
      </w:r>
      <w:r w:rsidR="00C249FB" w:rsidRPr="00315889">
        <w:rPr>
          <w:rFonts w:ascii="Tahoma" w:hAnsi="Tahoma" w:cs="Tahoma"/>
          <w:b/>
          <w:bCs/>
          <w:iCs/>
          <w:color w:val="2F5496" w:themeColor="accent1" w:themeShade="BF"/>
          <w:sz w:val="22"/>
          <w:szCs w:val="22"/>
          <w:lang w:val="sr-Cyrl-RS"/>
        </w:rPr>
        <w:t xml:space="preserve">Удео ових расхода у </w:t>
      </w:r>
      <w:r w:rsidR="00736A47">
        <w:rPr>
          <w:rFonts w:ascii="Tahoma" w:hAnsi="Tahoma" w:cs="Tahoma"/>
          <w:b/>
          <w:bCs/>
          <w:iCs/>
          <w:color w:val="2F5496" w:themeColor="accent1" w:themeShade="BF"/>
          <w:sz w:val="22"/>
          <w:szCs w:val="22"/>
          <w:lang w:val="sr-Cyrl-RS"/>
        </w:rPr>
        <w:t>општинском</w:t>
      </w:r>
      <w:r w:rsidR="00C249FB" w:rsidRPr="00315889">
        <w:rPr>
          <w:rFonts w:ascii="Tahoma" w:hAnsi="Tahoma" w:cs="Tahoma"/>
          <w:b/>
          <w:bCs/>
          <w:iCs/>
          <w:color w:val="2F5496" w:themeColor="accent1" w:themeShade="BF"/>
          <w:sz w:val="22"/>
          <w:szCs w:val="22"/>
          <w:lang w:val="sr-Cyrl-RS"/>
        </w:rPr>
        <w:t xml:space="preserve"> буџету је износио </w:t>
      </w:r>
      <w:r w:rsidR="008B2FDD" w:rsidRPr="00315889">
        <w:rPr>
          <w:rFonts w:ascii="Tahoma" w:hAnsi="Tahoma" w:cs="Tahoma"/>
          <w:b/>
          <w:bCs/>
          <w:iCs/>
          <w:color w:val="2F5496" w:themeColor="accent1" w:themeShade="BF"/>
          <w:sz w:val="22"/>
          <w:szCs w:val="22"/>
          <w:lang w:val="sr-Cyrl-RS"/>
        </w:rPr>
        <w:t>0,</w:t>
      </w:r>
      <w:r>
        <w:rPr>
          <w:rFonts w:ascii="Tahoma" w:hAnsi="Tahoma" w:cs="Tahoma"/>
          <w:b/>
          <w:bCs/>
          <w:iCs/>
          <w:color w:val="2F5496" w:themeColor="accent1" w:themeShade="BF"/>
          <w:sz w:val="22"/>
          <w:szCs w:val="22"/>
          <w:lang w:val="sr-Cyrl-RS"/>
        </w:rPr>
        <w:t>9</w:t>
      </w:r>
      <w:r w:rsidR="00C249FB" w:rsidRPr="006E780A">
        <w:rPr>
          <w:rFonts w:ascii="Tahoma" w:hAnsi="Tahoma" w:cs="Tahoma"/>
          <w:b/>
          <w:bCs/>
          <w:iCs/>
          <w:color w:val="2F5496" w:themeColor="accent1" w:themeShade="BF"/>
          <w:sz w:val="22"/>
          <w:szCs w:val="22"/>
          <w:lang w:val="sr-Cyrl-RS"/>
        </w:rPr>
        <w:t>%</w:t>
      </w:r>
      <w:r w:rsidR="001B32A6" w:rsidRPr="006E780A">
        <w:rPr>
          <w:rFonts w:ascii="Tahoma" w:hAnsi="Tahoma" w:cs="Tahoma"/>
          <w:b/>
          <w:bCs/>
          <w:iCs/>
          <w:color w:val="2F5496" w:themeColor="accent1" w:themeShade="BF"/>
          <w:sz w:val="22"/>
          <w:szCs w:val="22"/>
          <w:lang w:val="sr-Cyrl-RS"/>
        </w:rPr>
        <w:t>.</w:t>
      </w:r>
      <w:r w:rsidR="006E780A" w:rsidRPr="006E780A">
        <w:rPr>
          <w:rFonts w:ascii="Tahoma" w:hAnsi="Tahoma" w:cs="Tahoma"/>
          <w:iCs/>
          <w:color w:val="2F5496" w:themeColor="accent1" w:themeShade="BF"/>
          <w:sz w:val="22"/>
          <w:szCs w:val="22"/>
          <w:lang w:val="sr-Cyrl-RS"/>
        </w:rPr>
        <w:t xml:space="preserve"> </w:t>
      </w:r>
      <w:r w:rsidR="006E780A" w:rsidRPr="006E780A">
        <w:rPr>
          <w:rFonts w:ascii="Tahoma" w:hAnsi="Tahoma" w:cs="Tahoma"/>
          <w:iCs/>
          <w:color w:val="000000" w:themeColor="text1"/>
          <w:sz w:val="22"/>
          <w:szCs w:val="22"/>
          <w:lang w:val="sr-Cyrl-RS"/>
        </w:rPr>
        <w:t xml:space="preserve">Одговарајући удео </w:t>
      </w:r>
      <w:r w:rsidR="00D63261" w:rsidRPr="006E780A">
        <w:rPr>
          <w:rFonts w:ascii="Tahoma" w:hAnsi="Tahoma" w:cs="Tahoma"/>
          <w:iCs/>
          <w:color w:val="000000" w:themeColor="text1"/>
          <w:sz w:val="22"/>
          <w:szCs w:val="22"/>
          <w:lang w:val="sr-Cyrl-RS"/>
        </w:rPr>
        <w:t xml:space="preserve">је 2019. године у јединицама локалне самоуправе у Србији </w:t>
      </w:r>
      <w:r w:rsidR="006E780A" w:rsidRPr="006E780A">
        <w:rPr>
          <w:rFonts w:ascii="Tahoma" w:hAnsi="Tahoma" w:cs="Tahoma"/>
          <w:iCs/>
          <w:color w:val="000000" w:themeColor="text1"/>
          <w:sz w:val="22"/>
          <w:szCs w:val="22"/>
          <w:lang w:val="sr-Cyrl-RS"/>
        </w:rPr>
        <w:t xml:space="preserve">износио </w:t>
      </w:r>
      <w:r w:rsidR="00D63261" w:rsidRPr="006E780A">
        <w:rPr>
          <w:rFonts w:ascii="Tahoma" w:hAnsi="Tahoma" w:cs="Tahoma"/>
          <w:iCs/>
          <w:color w:val="000000" w:themeColor="text1"/>
          <w:sz w:val="22"/>
          <w:szCs w:val="22"/>
          <w:lang w:val="sr-Cyrl-RS"/>
        </w:rPr>
        <w:t>1,0%</w:t>
      </w:r>
      <w:r w:rsidR="006E780A" w:rsidRPr="006E780A">
        <w:rPr>
          <w:rFonts w:ascii="Tahoma" w:hAnsi="Tahoma" w:cs="Tahoma"/>
          <w:iCs/>
          <w:color w:val="000000" w:themeColor="text1"/>
          <w:sz w:val="22"/>
          <w:szCs w:val="22"/>
          <w:lang w:val="sr-Cyrl-RS"/>
        </w:rPr>
        <w:t>.</w:t>
      </w:r>
      <w:r w:rsidR="00D63261" w:rsidRPr="00EB1352">
        <w:rPr>
          <w:rFonts w:ascii="Tahoma" w:hAnsi="Tahoma" w:cs="Tahoma"/>
          <w:strike/>
          <w:color w:val="000000" w:themeColor="text1"/>
          <w:sz w:val="22"/>
          <w:szCs w:val="22"/>
          <w:lang w:val="sr-Cyrl-RS"/>
        </w:rPr>
        <w:t xml:space="preserve"> </w:t>
      </w:r>
    </w:p>
    <w:p w14:paraId="58886A1D" w14:textId="402460C8" w:rsidR="00670738" w:rsidRPr="0079740C" w:rsidRDefault="00382579" w:rsidP="007327A7">
      <w:pPr>
        <w:spacing w:after="160" w:line="259" w:lineRule="auto"/>
        <w:jc w:val="both"/>
        <w:rPr>
          <w:rFonts w:ascii="Tahoma" w:hAnsi="Tahoma" w:cs="Tahoma"/>
          <w:iCs/>
          <w:color w:val="000000" w:themeColor="text1"/>
          <w:sz w:val="22"/>
          <w:szCs w:val="22"/>
          <w:lang w:val="sr-Cyrl-RS"/>
        </w:rPr>
      </w:pPr>
      <w:r w:rsidRPr="008340AB">
        <w:rPr>
          <w:rFonts w:ascii="Tahoma" w:hAnsi="Tahoma" w:cs="Tahoma"/>
          <w:b/>
          <w:bCs/>
          <w:iCs/>
          <w:color w:val="2F5496"/>
          <w:sz w:val="22"/>
          <w:szCs w:val="22"/>
          <w:lang w:val="sr-Cyrl-RS"/>
        </w:rPr>
        <w:t>Капацитети</w:t>
      </w:r>
      <w:r w:rsidR="00C249FB" w:rsidRPr="008340AB">
        <w:rPr>
          <w:rFonts w:ascii="Tahoma" w:hAnsi="Tahoma" w:cs="Tahoma"/>
          <w:b/>
          <w:bCs/>
          <w:iCs/>
          <w:color w:val="2F5496"/>
          <w:sz w:val="22"/>
          <w:szCs w:val="22"/>
          <w:lang w:val="sr-Cyrl-RS"/>
        </w:rPr>
        <w:t xml:space="preserve"> здравствене заштите исказани преко броја лекара у примарној здравственој заштити</w:t>
      </w:r>
      <w:r w:rsidR="00C249FB" w:rsidRPr="00382579">
        <w:rPr>
          <w:rFonts w:ascii="Tahoma" w:hAnsi="Tahoma" w:cs="Tahoma"/>
          <w:b/>
          <w:bCs/>
          <w:iCs/>
          <w:color w:val="2F5496"/>
          <w:sz w:val="22"/>
          <w:szCs w:val="22"/>
          <w:lang w:val="sr-Cyrl-RS"/>
        </w:rPr>
        <w:t xml:space="preserve"> на 1</w:t>
      </w:r>
      <w:r w:rsidRPr="00382579">
        <w:rPr>
          <w:rFonts w:ascii="Tahoma" w:hAnsi="Tahoma" w:cs="Tahoma"/>
          <w:b/>
          <w:bCs/>
          <w:iCs/>
          <w:color w:val="2F5496"/>
          <w:sz w:val="22"/>
          <w:szCs w:val="22"/>
          <w:lang w:val="sr-Cyrl-RS"/>
        </w:rPr>
        <w:t>.</w:t>
      </w:r>
      <w:r w:rsidR="00C249FB" w:rsidRPr="00382579">
        <w:rPr>
          <w:rFonts w:ascii="Tahoma" w:hAnsi="Tahoma" w:cs="Tahoma"/>
          <w:b/>
          <w:bCs/>
          <w:iCs/>
          <w:color w:val="2F5496"/>
          <w:sz w:val="22"/>
          <w:szCs w:val="22"/>
          <w:lang w:val="sr-Cyrl-RS"/>
        </w:rPr>
        <w:t xml:space="preserve">000 становника у </w:t>
      </w:r>
      <w:r w:rsidR="00EB1352">
        <w:rPr>
          <w:rFonts w:ascii="Tahoma" w:hAnsi="Tahoma" w:cs="Tahoma"/>
          <w:b/>
          <w:bCs/>
          <w:iCs/>
          <w:color w:val="2F5496"/>
          <w:sz w:val="22"/>
          <w:szCs w:val="22"/>
          <w:lang w:val="sr-Cyrl-RS"/>
        </w:rPr>
        <w:t>Смедеревској Паланци</w:t>
      </w:r>
      <w:r w:rsidR="00C249FB" w:rsidRPr="00382579">
        <w:rPr>
          <w:rFonts w:ascii="Tahoma" w:hAnsi="Tahoma" w:cs="Tahoma"/>
          <w:b/>
          <w:bCs/>
          <w:iCs/>
          <w:color w:val="2F5496"/>
          <w:sz w:val="22"/>
          <w:szCs w:val="22"/>
          <w:lang w:val="sr-Cyrl-RS"/>
        </w:rPr>
        <w:t xml:space="preserve"> </w:t>
      </w:r>
      <w:r w:rsidR="00F13442" w:rsidRPr="00382579">
        <w:rPr>
          <w:rFonts w:ascii="Tahoma" w:hAnsi="Tahoma" w:cs="Tahoma"/>
          <w:b/>
          <w:bCs/>
          <w:iCs/>
          <w:color w:val="2F5496"/>
          <w:sz w:val="22"/>
          <w:szCs w:val="22"/>
          <w:lang w:val="sr-Cyrl-RS"/>
        </w:rPr>
        <w:t xml:space="preserve">су </w:t>
      </w:r>
      <w:r w:rsidR="006E780A">
        <w:rPr>
          <w:rFonts w:ascii="Tahoma" w:hAnsi="Tahoma" w:cs="Tahoma"/>
          <w:b/>
          <w:bCs/>
          <w:iCs/>
          <w:color w:val="2F5496"/>
          <w:sz w:val="22"/>
          <w:szCs w:val="22"/>
          <w:lang w:val="sr-Cyrl-RS"/>
        </w:rPr>
        <w:t xml:space="preserve">углавном приближно на нивоу </w:t>
      </w:r>
      <w:r w:rsidR="00F13442" w:rsidRPr="00382579">
        <w:rPr>
          <w:rFonts w:ascii="Tahoma" w:hAnsi="Tahoma" w:cs="Tahoma"/>
          <w:b/>
          <w:bCs/>
          <w:iCs/>
          <w:color w:val="2F5496"/>
          <w:sz w:val="22"/>
          <w:szCs w:val="22"/>
          <w:lang w:val="sr-Cyrl-RS"/>
        </w:rPr>
        <w:t>просек</w:t>
      </w:r>
      <w:r w:rsidR="006E780A">
        <w:rPr>
          <w:rFonts w:ascii="Tahoma" w:hAnsi="Tahoma" w:cs="Tahoma"/>
          <w:b/>
          <w:bCs/>
          <w:iCs/>
          <w:color w:val="2F5496"/>
          <w:sz w:val="22"/>
          <w:szCs w:val="22"/>
          <w:lang w:val="sr-Cyrl-RS"/>
        </w:rPr>
        <w:t>а</w:t>
      </w:r>
      <w:r w:rsidR="00F13442" w:rsidRPr="00382579">
        <w:rPr>
          <w:rFonts w:ascii="Tahoma" w:hAnsi="Tahoma" w:cs="Tahoma"/>
          <w:b/>
          <w:bCs/>
          <w:iCs/>
          <w:color w:val="2F5496"/>
          <w:sz w:val="22"/>
          <w:szCs w:val="22"/>
          <w:lang w:val="sr-Cyrl-RS"/>
        </w:rPr>
        <w:t xml:space="preserve"> Србиј</w:t>
      </w:r>
      <w:r w:rsidR="00F13442">
        <w:rPr>
          <w:rFonts w:ascii="Tahoma" w:hAnsi="Tahoma" w:cs="Tahoma"/>
          <w:b/>
          <w:bCs/>
          <w:iCs/>
          <w:color w:val="2F5496"/>
          <w:sz w:val="22"/>
          <w:szCs w:val="22"/>
          <w:lang w:val="sr-Cyrl-RS"/>
        </w:rPr>
        <w:t>а-југ, чак у појединим сегментима и изнад просека (</w:t>
      </w:r>
      <w:r w:rsidR="00F13442" w:rsidRPr="00382579">
        <w:rPr>
          <w:rFonts w:ascii="Tahoma" w:hAnsi="Tahoma" w:cs="Tahoma"/>
          <w:b/>
          <w:bCs/>
          <w:iCs/>
          <w:color w:val="2F5496"/>
          <w:sz w:val="22"/>
          <w:szCs w:val="22"/>
          <w:lang w:val="sr-Cyrl-RS"/>
        </w:rPr>
        <w:t>здравствен</w:t>
      </w:r>
      <w:r w:rsidR="00F13442">
        <w:rPr>
          <w:rFonts w:ascii="Tahoma" w:hAnsi="Tahoma" w:cs="Tahoma"/>
          <w:b/>
          <w:bCs/>
          <w:iCs/>
          <w:color w:val="2F5496"/>
          <w:sz w:val="22"/>
          <w:szCs w:val="22"/>
          <w:lang w:val="sr-Cyrl-RS"/>
        </w:rPr>
        <w:t>а</w:t>
      </w:r>
      <w:r w:rsidR="00F13442" w:rsidRPr="00382579">
        <w:rPr>
          <w:rFonts w:ascii="Tahoma" w:hAnsi="Tahoma" w:cs="Tahoma"/>
          <w:b/>
          <w:bCs/>
          <w:iCs/>
          <w:color w:val="2F5496"/>
          <w:sz w:val="22"/>
          <w:szCs w:val="22"/>
          <w:lang w:val="sr-Cyrl-RS"/>
        </w:rPr>
        <w:t xml:space="preserve"> заштит</w:t>
      </w:r>
      <w:r w:rsidR="00F13442">
        <w:rPr>
          <w:rFonts w:ascii="Tahoma" w:hAnsi="Tahoma" w:cs="Tahoma"/>
          <w:b/>
          <w:bCs/>
          <w:iCs/>
          <w:color w:val="2F5496"/>
          <w:sz w:val="22"/>
          <w:szCs w:val="22"/>
          <w:lang w:val="sr-Cyrl-RS"/>
        </w:rPr>
        <w:t>а</w:t>
      </w:r>
      <w:r w:rsidR="00F13442" w:rsidRPr="00382579">
        <w:rPr>
          <w:rFonts w:ascii="Tahoma" w:hAnsi="Tahoma" w:cs="Tahoma"/>
          <w:b/>
          <w:bCs/>
          <w:iCs/>
          <w:color w:val="2F5496"/>
          <w:sz w:val="22"/>
          <w:szCs w:val="22"/>
          <w:lang w:val="sr-Cyrl-RS"/>
        </w:rPr>
        <w:t xml:space="preserve"> деце</w:t>
      </w:r>
      <w:r w:rsidR="00F13442">
        <w:rPr>
          <w:rFonts w:ascii="Tahoma" w:hAnsi="Tahoma" w:cs="Tahoma"/>
          <w:b/>
          <w:bCs/>
          <w:iCs/>
          <w:color w:val="2F5496"/>
          <w:sz w:val="22"/>
          <w:szCs w:val="22"/>
          <w:lang w:val="sr-Cyrl-RS"/>
        </w:rPr>
        <w:t xml:space="preserve">). </w:t>
      </w:r>
      <w:r w:rsidR="006E780A">
        <w:rPr>
          <w:rFonts w:ascii="Tahoma" w:hAnsi="Tahoma" w:cs="Tahoma"/>
          <w:b/>
          <w:bCs/>
          <w:iCs/>
          <w:color w:val="2F5496"/>
          <w:sz w:val="22"/>
          <w:szCs w:val="22"/>
          <w:lang w:val="sr-Cyrl-RS"/>
        </w:rPr>
        <w:t>Капацитет за с</w:t>
      </w:r>
      <w:r w:rsidR="00F13442">
        <w:rPr>
          <w:rFonts w:ascii="Tahoma" w:hAnsi="Tahoma" w:cs="Tahoma"/>
          <w:b/>
          <w:bCs/>
          <w:iCs/>
          <w:color w:val="2F5496"/>
          <w:sz w:val="22"/>
          <w:szCs w:val="22"/>
          <w:lang w:val="sr-Cyrl-RS"/>
        </w:rPr>
        <w:t>томатолошк</w:t>
      </w:r>
      <w:r w:rsidR="006E780A">
        <w:rPr>
          <w:rFonts w:ascii="Tahoma" w:hAnsi="Tahoma" w:cs="Tahoma"/>
          <w:b/>
          <w:bCs/>
          <w:iCs/>
          <w:color w:val="2F5496"/>
          <w:sz w:val="22"/>
          <w:szCs w:val="22"/>
          <w:lang w:val="sr-Cyrl-RS"/>
        </w:rPr>
        <w:t>у</w:t>
      </w:r>
      <w:r w:rsidR="00F13442">
        <w:rPr>
          <w:rFonts w:ascii="Tahoma" w:hAnsi="Tahoma" w:cs="Tahoma"/>
          <w:b/>
          <w:bCs/>
          <w:iCs/>
          <w:color w:val="2F5496"/>
          <w:sz w:val="22"/>
          <w:szCs w:val="22"/>
          <w:lang w:val="sr-Cyrl-RS"/>
        </w:rPr>
        <w:t xml:space="preserve"> заштит</w:t>
      </w:r>
      <w:r w:rsidR="006E780A">
        <w:rPr>
          <w:rFonts w:ascii="Tahoma" w:hAnsi="Tahoma" w:cs="Tahoma"/>
          <w:b/>
          <w:bCs/>
          <w:iCs/>
          <w:color w:val="2F5496"/>
          <w:sz w:val="22"/>
          <w:szCs w:val="22"/>
          <w:lang w:val="sr-Cyrl-RS"/>
        </w:rPr>
        <w:t>у</w:t>
      </w:r>
      <w:r w:rsidR="00F13442">
        <w:rPr>
          <w:rFonts w:ascii="Tahoma" w:hAnsi="Tahoma" w:cs="Tahoma"/>
          <w:b/>
          <w:bCs/>
          <w:iCs/>
          <w:color w:val="2F5496"/>
          <w:sz w:val="22"/>
          <w:szCs w:val="22"/>
          <w:lang w:val="sr-Cyrl-RS"/>
        </w:rPr>
        <w:t xml:space="preserve"> деце и омладине је </w:t>
      </w:r>
      <w:r w:rsidR="006E780A">
        <w:rPr>
          <w:rFonts w:ascii="Tahoma" w:hAnsi="Tahoma" w:cs="Tahoma"/>
          <w:b/>
          <w:bCs/>
          <w:iCs/>
          <w:color w:val="2F5496"/>
          <w:sz w:val="22"/>
          <w:szCs w:val="22"/>
          <w:lang w:val="sr-Cyrl-RS"/>
        </w:rPr>
        <w:t>незадовољавајући.</w:t>
      </w:r>
    </w:p>
    <w:p w14:paraId="229DFAC9" w14:textId="256616E1" w:rsidR="005A1B51" w:rsidRPr="008340AB" w:rsidRDefault="00C249FB" w:rsidP="007327A7">
      <w:pPr>
        <w:spacing w:after="160" w:line="259" w:lineRule="auto"/>
        <w:jc w:val="both"/>
        <w:rPr>
          <w:rFonts w:ascii="Tahoma" w:hAnsi="Tahoma" w:cs="Tahoma"/>
          <w:color w:val="2F5496"/>
          <w:sz w:val="22"/>
          <w:szCs w:val="22"/>
          <w:lang w:val="sr-Cyrl-RS"/>
        </w:rPr>
      </w:pPr>
      <w:r w:rsidRPr="008340AB">
        <w:rPr>
          <w:rFonts w:ascii="Tahoma" w:hAnsi="Tahoma" w:cs="Tahoma"/>
          <w:color w:val="2F5496"/>
          <w:sz w:val="22"/>
          <w:szCs w:val="22"/>
          <w:lang w:val="sr-Cyrl-RS"/>
        </w:rPr>
        <w:t>Табела 8. Број лекара у примарној здравственој заштити на 1.000 становника</w:t>
      </w:r>
      <w:r w:rsidR="008340AB">
        <w:rPr>
          <w:rFonts w:ascii="Tahoma" w:hAnsi="Tahoma" w:cs="Tahoma"/>
          <w:color w:val="2F5496"/>
          <w:sz w:val="22"/>
          <w:szCs w:val="22"/>
          <w:lang w:val="sr-Cyrl-RS"/>
        </w:rPr>
        <w:t xml:space="preserve"> </w:t>
      </w:r>
      <w:r w:rsidR="008340AB" w:rsidRPr="008340AB">
        <w:rPr>
          <w:rFonts w:ascii="Tahoma" w:hAnsi="Tahoma" w:cs="Tahoma"/>
          <w:color w:val="2F5496"/>
          <w:sz w:val="22"/>
          <w:szCs w:val="22"/>
          <w:lang w:val="sr-Cyrl-RS"/>
        </w:rPr>
        <w:t>(</w:t>
      </w:r>
      <w:r w:rsidR="008340AB">
        <w:rPr>
          <w:rFonts w:ascii="Tahoma" w:hAnsi="Tahoma" w:cs="Tahoma"/>
          <w:color w:val="2F5496"/>
          <w:sz w:val="22"/>
          <w:szCs w:val="22"/>
          <w:lang w:val="sr-Cyrl-RS"/>
        </w:rPr>
        <w:t xml:space="preserve">у </w:t>
      </w:r>
      <w:r w:rsidR="008340AB" w:rsidRPr="008340AB">
        <w:rPr>
          <w:rFonts w:ascii="Tahoma" w:hAnsi="Tahoma" w:cs="Tahoma"/>
          <w:color w:val="2F5496"/>
          <w:sz w:val="22"/>
          <w:szCs w:val="22"/>
          <w:lang w:val="sr-Cyrl-RS"/>
        </w:rPr>
        <w:t>‰)</w:t>
      </w:r>
      <w:r w:rsidRPr="008340AB">
        <w:rPr>
          <w:rFonts w:ascii="Tahoma" w:hAnsi="Tahoma" w:cs="Tahoma"/>
          <w:color w:val="2F5496"/>
          <w:sz w:val="22"/>
          <w:szCs w:val="22"/>
          <w:lang w:val="sr-Cyrl-RS"/>
        </w:rPr>
        <w:t>,</w:t>
      </w:r>
      <w:r w:rsidR="008340AB">
        <w:rPr>
          <w:rFonts w:ascii="Tahoma" w:hAnsi="Tahoma" w:cs="Tahoma"/>
          <w:color w:val="2F5496"/>
          <w:sz w:val="22"/>
          <w:szCs w:val="22"/>
          <w:lang w:val="sr-Cyrl-RS"/>
        </w:rPr>
        <w:t xml:space="preserve"> </w:t>
      </w:r>
      <w:r w:rsidRPr="008340AB">
        <w:rPr>
          <w:rFonts w:ascii="Tahoma" w:hAnsi="Tahoma" w:cs="Tahoma"/>
          <w:color w:val="2F5496"/>
          <w:sz w:val="22"/>
          <w:szCs w:val="22"/>
          <w:lang w:val="sr-Cyrl-RS"/>
        </w:rPr>
        <w:t>20</w:t>
      </w:r>
      <w:r w:rsidR="00EB269B">
        <w:rPr>
          <w:rFonts w:ascii="Tahoma" w:hAnsi="Tahoma" w:cs="Tahoma"/>
          <w:color w:val="2F5496"/>
          <w:sz w:val="22"/>
          <w:szCs w:val="22"/>
          <w:lang w:val="sr-Latn-RS"/>
        </w:rPr>
        <w:t>20</w:t>
      </w:r>
      <w:r w:rsidRPr="008340AB">
        <w:rPr>
          <w:rFonts w:ascii="Tahoma" w:hAnsi="Tahoma" w:cs="Tahoma"/>
          <w:color w:val="2F5496"/>
          <w:sz w:val="22"/>
          <w:szCs w:val="22"/>
          <w:lang w:val="sr-Cyrl-RS"/>
        </w:rPr>
        <w:t xml:space="preserve">. </w:t>
      </w:r>
    </w:p>
    <w:tbl>
      <w:tblPr>
        <w:tblStyle w:val="GridTable5Dark-Accent51"/>
        <w:tblpPr w:leftFromText="180" w:rightFromText="180" w:vertAnchor="text" w:horzAnchor="margin" w:tblpX="-10" w:tblpY="4"/>
        <w:tblW w:w="9493" w:type="dxa"/>
        <w:tblLayout w:type="fixed"/>
        <w:tblLook w:val="04A0" w:firstRow="1" w:lastRow="0" w:firstColumn="1" w:lastColumn="0" w:noHBand="0" w:noVBand="1"/>
      </w:tblPr>
      <w:tblGrid>
        <w:gridCol w:w="5524"/>
        <w:gridCol w:w="1701"/>
        <w:gridCol w:w="2268"/>
      </w:tblGrid>
      <w:tr w:rsidR="00B33030" w:rsidRPr="00361404" w14:paraId="6D772067" w14:textId="77777777" w:rsidTr="00624B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right w:val="single" w:sz="4" w:space="0" w:color="FFFFFF" w:themeColor="background1"/>
            </w:tcBorders>
            <w:shd w:val="clear" w:color="auto" w:fill="2F5496" w:themeFill="accent1" w:themeFillShade="BF"/>
          </w:tcPr>
          <w:p w14:paraId="27A6FD05" w14:textId="77777777" w:rsidR="00B33030" w:rsidRPr="00361404" w:rsidRDefault="00B33030" w:rsidP="00624B5E">
            <w:pPr>
              <w:spacing w:after="160" w:line="259" w:lineRule="auto"/>
              <w:jc w:val="both"/>
              <w:rPr>
                <w:rFonts w:ascii="Tahoma" w:hAnsi="Tahoma" w:cs="Tahoma"/>
                <w:sz w:val="21"/>
                <w:szCs w:val="21"/>
                <w:lang w:val="sr-Cyrl-RS"/>
              </w:rPr>
            </w:pPr>
          </w:p>
        </w:tc>
        <w:tc>
          <w:tcPr>
            <w:tcW w:w="1701" w:type="dxa"/>
            <w:tcBorders>
              <w:left w:val="single" w:sz="4" w:space="0" w:color="FFFFFF" w:themeColor="background1"/>
              <w:right w:val="single" w:sz="4" w:space="0" w:color="FFFFFF" w:themeColor="background1"/>
            </w:tcBorders>
            <w:shd w:val="clear" w:color="auto" w:fill="2F5496" w:themeFill="accent1" w:themeFillShade="BF"/>
            <w:vAlign w:val="center"/>
          </w:tcPr>
          <w:p w14:paraId="4C4564C2" w14:textId="6DB7E249" w:rsidR="00B33030" w:rsidRPr="00EB269B" w:rsidRDefault="00E939FB" w:rsidP="00624B5E">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sz w:val="21"/>
                <w:szCs w:val="21"/>
                <w:lang w:val="sr-Cyrl-RS"/>
              </w:rPr>
            </w:pPr>
            <w:r>
              <w:rPr>
                <w:rFonts w:ascii="Tahoma" w:hAnsi="Tahoma" w:cs="Tahoma"/>
                <w:sz w:val="21"/>
                <w:szCs w:val="21"/>
                <w:lang w:val="sr-Cyrl-RS"/>
              </w:rPr>
              <w:t>Смедеревска Паланка</w:t>
            </w:r>
          </w:p>
        </w:tc>
        <w:tc>
          <w:tcPr>
            <w:tcW w:w="2268" w:type="dxa"/>
            <w:tcBorders>
              <w:left w:val="single" w:sz="4" w:space="0" w:color="FFFFFF" w:themeColor="background1"/>
            </w:tcBorders>
            <w:shd w:val="clear" w:color="auto" w:fill="2F5496" w:themeFill="accent1" w:themeFillShade="BF"/>
            <w:vAlign w:val="center"/>
          </w:tcPr>
          <w:p w14:paraId="1D374C4E" w14:textId="77777777" w:rsidR="00B33030" w:rsidRPr="00361404" w:rsidRDefault="00B33030" w:rsidP="00624B5E">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sz w:val="21"/>
                <w:szCs w:val="21"/>
                <w:lang w:val="sr-Cyrl-RS"/>
              </w:rPr>
            </w:pPr>
            <w:r>
              <w:rPr>
                <w:rFonts w:ascii="Tahoma" w:hAnsi="Tahoma" w:cs="Tahoma"/>
                <w:sz w:val="21"/>
                <w:szCs w:val="21"/>
                <w:lang w:val="sr-Cyrl-RS"/>
              </w:rPr>
              <w:t>Србија-југ</w:t>
            </w:r>
          </w:p>
        </w:tc>
      </w:tr>
      <w:tr w:rsidR="00B33030" w:rsidRPr="00361404" w14:paraId="72FC36E9" w14:textId="77777777" w:rsidTr="00624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shd w:val="clear" w:color="auto" w:fill="D9E2F3" w:themeFill="accent1" w:themeFillTint="33"/>
          </w:tcPr>
          <w:p w14:paraId="0E2307FB" w14:textId="77777777" w:rsidR="00B33030" w:rsidRPr="00B02F97" w:rsidRDefault="00B33030" w:rsidP="00624B5E">
            <w:pPr>
              <w:spacing w:after="160" w:line="259" w:lineRule="auto"/>
              <w:jc w:val="both"/>
              <w:rPr>
                <w:rFonts w:ascii="Tahoma" w:hAnsi="Tahoma" w:cs="Tahoma"/>
                <w:color w:val="1F3864" w:themeColor="accent1" w:themeShade="80"/>
                <w:sz w:val="21"/>
                <w:szCs w:val="21"/>
                <w:lang w:val="sr-Cyrl-RS"/>
              </w:rPr>
            </w:pPr>
            <w:r w:rsidRPr="008340AB">
              <w:rPr>
                <w:rFonts w:ascii="Tahoma" w:hAnsi="Tahoma" w:cs="Tahoma"/>
                <w:color w:val="1F3864" w:themeColor="accent1" w:themeShade="80"/>
                <w:sz w:val="21"/>
                <w:szCs w:val="21"/>
                <w:lang w:val="sr-Cyrl-RS"/>
              </w:rPr>
              <w:t>Здравствена заштита деце</w:t>
            </w:r>
          </w:p>
        </w:tc>
        <w:tc>
          <w:tcPr>
            <w:tcW w:w="1701" w:type="dxa"/>
            <w:shd w:val="clear" w:color="auto" w:fill="D9E2F3" w:themeFill="accent1" w:themeFillTint="33"/>
          </w:tcPr>
          <w:p w14:paraId="70F5E5B2" w14:textId="4028ED98" w:rsidR="00B33030" w:rsidRPr="00EB269B" w:rsidRDefault="00E939FB" w:rsidP="00942D0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lang w:val="sr-Cyrl-RS"/>
              </w:rPr>
            </w:pPr>
            <w:r>
              <w:rPr>
                <w:rFonts w:ascii="Tahoma" w:hAnsi="Tahoma" w:cs="Tahoma"/>
                <w:sz w:val="21"/>
                <w:szCs w:val="21"/>
                <w:lang w:val="sr-Cyrl-RS"/>
              </w:rPr>
              <w:t>2,2</w:t>
            </w:r>
          </w:p>
        </w:tc>
        <w:tc>
          <w:tcPr>
            <w:tcW w:w="2268" w:type="dxa"/>
            <w:shd w:val="clear" w:color="auto" w:fill="D9E2F3" w:themeFill="accent1" w:themeFillTint="33"/>
          </w:tcPr>
          <w:p w14:paraId="2479E2BD" w14:textId="77777777" w:rsidR="00B33030" w:rsidRPr="00EB269B" w:rsidRDefault="00B33030" w:rsidP="00942D0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lang w:val="sr-Cyrl-RS"/>
              </w:rPr>
            </w:pPr>
            <w:r w:rsidRPr="008340AB">
              <w:rPr>
                <w:rFonts w:ascii="Tahoma" w:hAnsi="Tahoma" w:cs="Tahoma"/>
                <w:sz w:val="21"/>
                <w:szCs w:val="21"/>
              </w:rPr>
              <w:t>1,</w:t>
            </w:r>
            <w:r>
              <w:rPr>
                <w:rFonts w:ascii="Tahoma" w:hAnsi="Tahoma" w:cs="Tahoma"/>
                <w:sz w:val="21"/>
                <w:szCs w:val="21"/>
                <w:lang w:val="sr-Cyrl-RS"/>
              </w:rPr>
              <w:t>7</w:t>
            </w:r>
          </w:p>
        </w:tc>
      </w:tr>
      <w:tr w:rsidR="00B33030" w:rsidRPr="00361404" w14:paraId="0A85343B" w14:textId="77777777" w:rsidTr="00624B5E">
        <w:tc>
          <w:tcPr>
            <w:cnfStyle w:val="001000000000" w:firstRow="0" w:lastRow="0" w:firstColumn="1" w:lastColumn="0" w:oddVBand="0" w:evenVBand="0" w:oddHBand="0" w:evenHBand="0" w:firstRowFirstColumn="0" w:firstRowLastColumn="0" w:lastRowFirstColumn="0" w:lastRowLastColumn="0"/>
            <w:tcW w:w="5524" w:type="dxa"/>
            <w:shd w:val="clear" w:color="auto" w:fill="B4C6E7" w:themeFill="accent1" w:themeFillTint="66"/>
          </w:tcPr>
          <w:p w14:paraId="50D38912" w14:textId="77777777" w:rsidR="00B33030" w:rsidRPr="00B02F97" w:rsidRDefault="00B33030" w:rsidP="00624B5E">
            <w:pPr>
              <w:spacing w:after="160" w:line="259" w:lineRule="auto"/>
              <w:jc w:val="both"/>
              <w:rPr>
                <w:rFonts w:ascii="Tahoma" w:hAnsi="Tahoma" w:cs="Tahoma"/>
                <w:color w:val="1F3864" w:themeColor="accent1" w:themeShade="80"/>
                <w:sz w:val="21"/>
                <w:szCs w:val="21"/>
                <w:lang w:val="sr-Cyrl-RS"/>
              </w:rPr>
            </w:pPr>
            <w:r w:rsidRPr="008340AB">
              <w:rPr>
                <w:rFonts w:ascii="Tahoma" w:hAnsi="Tahoma" w:cs="Tahoma"/>
                <w:color w:val="1F3864" w:themeColor="accent1" w:themeShade="80"/>
                <w:sz w:val="21"/>
                <w:szCs w:val="21"/>
                <w:lang w:val="sr-Cyrl-RS"/>
              </w:rPr>
              <w:t>Здравствена заштита жена</w:t>
            </w:r>
          </w:p>
        </w:tc>
        <w:tc>
          <w:tcPr>
            <w:tcW w:w="1701" w:type="dxa"/>
            <w:shd w:val="clear" w:color="auto" w:fill="B4C6E7" w:themeFill="accent1" w:themeFillTint="66"/>
          </w:tcPr>
          <w:p w14:paraId="5E3E5E44" w14:textId="53DEFCC3" w:rsidR="00B33030" w:rsidRPr="00EB269B" w:rsidRDefault="00E939FB" w:rsidP="00942D0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lang w:val="sr-Cyrl-RS"/>
              </w:rPr>
            </w:pPr>
            <w:r>
              <w:rPr>
                <w:rFonts w:ascii="Tahoma" w:hAnsi="Tahoma" w:cs="Tahoma"/>
                <w:sz w:val="21"/>
                <w:szCs w:val="21"/>
                <w:lang w:val="sr-Cyrl-RS"/>
              </w:rPr>
              <w:t>0,2</w:t>
            </w:r>
          </w:p>
        </w:tc>
        <w:tc>
          <w:tcPr>
            <w:tcW w:w="2268" w:type="dxa"/>
            <w:shd w:val="clear" w:color="auto" w:fill="B4C6E7" w:themeFill="accent1" w:themeFillTint="66"/>
          </w:tcPr>
          <w:p w14:paraId="19B331AB" w14:textId="77777777" w:rsidR="00B33030" w:rsidRPr="008340AB" w:rsidRDefault="00B33030" w:rsidP="00942D0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8340AB">
              <w:rPr>
                <w:rFonts w:ascii="Tahoma" w:hAnsi="Tahoma" w:cs="Tahoma"/>
                <w:sz w:val="21"/>
                <w:szCs w:val="21"/>
              </w:rPr>
              <w:t>0,2</w:t>
            </w:r>
          </w:p>
        </w:tc>
      </w:tr>
      <w:tr w:rsidR="00B33030" w:rsidRPr="00361404" w14:paraId="475DE549" w14:textId="77777777" w:rsidTr="00624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shd w:val="clear" w:color="auto" w:fill="D9E2F3" w:themeFill="accent1" w:themeFillTint="33"/>
          </w:tcPr>
          <w:p w14:paraId="33317D5F" w14:textId="77777777" w:rsidR="00B33030" w:rsidRPr="00675EF5" w:rsidRDefault="00B33030" w:rsidP="00624B5E">
            <w:pPr>
              <w:spacing w:after="160" w:line="259" w:lineRule="auto"/>
              <w:jc w:val="both"/>
              <w:rPr>
                <w:rFonts w:ascii="Tahoma" w:hAnsi="Tahoma" w:cs="Tahoma"/>
                <w:color w:val="1F3864" w:themeColor="accent1" w:themeShade="80"/>
                <w:sz w:val="21"/>
                <w:szCs w:val="21"/>
                <w:lang w:val="sr-Cyrl-RS"/>
              </w:rPr>
            </w:pPr>
            <w:r w:rsidRPr="008340AB">
              <w:rPr>
                <w:rFonts w:ascii="Tahoma" w:hAnsi="Tahoma" w:cs="Tahoma"/>
                <w:color w:val="1F3864" w:themeColor="accent1" w:themeShade="80"/>
                <w:sz w:val="21"/>
                <w:szCs w:val="21"/>
                <w:lang w:val="sr-Cyrl-RS"/>
              </w:rPr>
              <w:t>Здравствена заштита одраслог становништва</w:t>
            </w:r>
          </w:p>
        </w:tc>
        <w:tc>
          <w:tcPr>
            <w:tcW w:w="1701" w:type="dxa"/>
            <w:shd w:val="clear" w:color="auto" w:fill="D9E2F3" w:themeFill="accent1" w:themeFillTint="33"/>
          </w:tcPr>
          <w:p w14:paraId="0CA3795C" w14:textId="5432AF85" w:rsidR="00B33030" w:rsidRPr="00EB269B" w:rsidRDefault="00E939FB" w:rsidP="00942D0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lang w:val="sr-Cyrl-RS"/>
              </w:rPr>
            </w:pPr>
            <w:r>
              <w:rPr>
                <w:rFonts w:ascii="Tahoma" w:hAnsi="Tahoma" w:cs="Tahoma"/>
                <w:sz w:val="21"/>
                <w:szCs w:val="21"/>
                <w:lang w:val="sr-Cyrl-RS"/>
              </w:rPr>
              <w:t>0,7</w:t>
            </w:r>
          </w:p>
        </w:tc>
        <w:tc>
          <w:tcPr>
            <w:tcW w:w="2268" w:type="dxa"/>
            <w:shd w:val="clear" w:color="auto" w:fill="D9E2F3" w:themeFill="accent1" w:themeFillTint="33"/>
          </w:tcPr>
          <w:p w14:paraId="76737BB6" w14:textId="77777777" w:rsidR="00B33030" w:rsidRPr="008340AB" w:rsidRDefault="00B33030" w:rsidP="00942D0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rPr>
            </w:pPr>
            <w:r w:rsidRPr="008340AB">
              <w:rPr>
                <w:rFonts w:ascii="Tahoma" w:hAnsi="Tahoma" w:cs="Tahoma"/>
                <w:sz w:val="21"/>
                <w:szCs w:val="21"/>
              </w:rPr>
              <w:t>0,7</w:t>
            </w:r>
          </w:p>
        </w:tc>
      </w:tr>
      <w:tr w:rsidR="00B33030" w:rsidRPr="00361404" w14:paraId="2DD5DBE2" w14:textId="77777777" w:rsidTr="00624B5E">
        <w:tc>
          <w:tcPr>
            <w:cnfStyle w:val="001000000000" w:firstRow="0" w:lastRow="0" w:firstColumn="1" w:lastColumn="0" w:oddVBand="0" w:evenVBand="0" w:oddHBand="0" w:evenHBand="0" w:firstRowFirstColumn="0" w:firstRowLastColumn="0" w:lastRowFirstColumn="0" w:lastRowLastColumn="0"/>
            <w:tcW w:w="5524" w:type="dxa"/>
            <w:shd w:val="clear" w:color="auto" w:fill="B4C6E7" w:themeFill="accent1" w:themeFillTint="66"/>
          </w:tcPr>
          <w:p w14:paraId="7831F835" w14:textId="77777777" w:rsidR="00B33030" w:rsidRPr="00675EF5" w:rsidRDefault="00B33030" w:rsidP="00624B5E">
            <w:pPr>
              <w:spacing w:after="160" w:line="259" w:lineRule="auto"/>
              <w:jc w:val="both"/>
              <w:rPr>
                <w:rFonts w:ascii="Tahoma" w:hAnsi="Tahoma" w:cs="Tahoma"/>
                <w:color w:val="1F3864" w:themeColor="accent1" w:themeShade="80"/>
                <w:sz w:val="21"/>
                <w:szCs w:val="21"/>
                <w:lang w:val="sr-Cyrl-RS"/>
              </w:rPr>
            </w:pPr>
            <w:r w:rsidRPr="008340AB">
              <w:rPr>
                <w:rFonts w:ascii="Tahoma" w:hAnsi="Tahoma" w:cs="Tahoma"/>
                <w:color w:val="1F3864" w:themeColor="accent1" w:themeShade="80"/>
                <w:sz w:val="21"/>
                <w:szCs w:val="21"/>
                <w:lang w:val="sr-Cyrl-RS"/>
              </w:rPr>
              <w:t>Стоматолошка заштита деце и омладине</w:t>
            </w:r>
          </w:p>
        </w:tc>
        <w:tc>
          <w:tcPr>
            <w:tcW w:w="1701" w:type="dxa"/>
            <w:shd w:val="clear" w:color="auto" w:fill="B4C6E7" w:themeFill="accent1" w:themeFillTint="66"/>
          </w:tcPr>
          <w:p w14:paraId="300C0F87" w14:textId="1E3DA050" w:rsidR="00B33030" w:rsidRPr="00EB269B" w:rsidRDefault="00E939FB" w:rsidP="00942D0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lang w:val="sr-Cyrl-RS"/>
              </w:rPr>
            </w:pPr>
            <w:r>
              <w:rPr>
                <w:rFonts w:ascii="Tahoma" w:hAnsi="Tahoma" w:cs="Tahoma"/>
                <w:sz w:val="21"/>
                <w:szCs w:val="21"/>
                <w:lang w:val="sr-Cyrl-RS"/>
              </w:rPr>
              <w:t>0,2</w:t>
            </w:r>
          </w:p>
        </w:tc>
        <w:tc>
          <w:tcPr>
            <w:tcW w:w="2268" w:type="dxa"/>
            <w:shd w:val="clear" w:color="auto" w:fill="B4C6E7" w:themeFill="accent1" w:themeFillTint="66"/>
          </w:tcPr>
          <w:p w14:paraId="59BC74B3" w14:textId="77777777" w:rsidR="00B33030" w:rsidRPr="008340AB" w:rsidRDefault="00B33030" w:rsidP="00942D0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rPr>
            </w:pPr>
            <w:r w:rsidRPr="008340AB">
              <w:rPr>
                <w:rFonts w:ascii="Tahoma" w:hAnsi="Tahoma" w:cs="Tahoma"/>
                <w:sz w:val="21"/>
                <w:szCs w:val="21"/>
              </w:rPr>
              <w:t>0,7</w:t>
            </w:r>
          </w:p>
        </w:tc>
      </w:tr>
    </w:tbl>
    <w:p w14:paraId="20AAE42B" w14:textId="2CB9EBC8" w:rsidR="008340AB" w:rsidRDefault="008340AB" w:rsidP="007327A7">
      <w:pPr>
        <w:spacing w:after="160" w:line="259" w:lineRule="auto"/>
        <w:jc w:val="both"/>
        <w:rPr>
          <w:rFonts w:ascii="Tahoma" w:hAnsi="Tahoma" w:cs="Tahoma"/>
          <w:sz w:val="18"/>
          <w:szCs w:val="18"/>
          <w:lang w:val="sr-Cyrl-RS"/>
        </w:rPr>
      </w:pPr>
      <w:r w:rsidRPr="00AF3C50">
        <w:rPr>
          <w:rFonts w:ascii="Tahoma" w:hAnsi="Tahoma" w:cs="Tahoma"/>
          <w:sz w:val="18"/>
          <w:szCs w:val="18"/>
          <w:lang w:val="sr-Cyrl-RS"/>
        </w:rPr>
        <w:t>Извор: ДевИнфо база</w:t>
      </w:r>
      <w:r>
        <w:rPr>
          <w:rFonts w:ascii="Tahoma" w:hAnsi="Tahoma" w:cs="Tahoma"/>
          <w:sz w:val="18"/>
          <w:szCs w:val="18"/>
        </w:rPr>
        <w:t>,</w:t>
      </w:r>
      <w:r w:rsidRPr="00AF3C50">
        <w:rPr>
          <w:rFonts w:ascii="Tahoma" w:hAnsi="Tahoma" w:cs="Tahoma"/>
          <w:sz w:val="18"/>
          <w:szCs w:val="18"/>
          <w:lang w:val="sr-Cyrl-RS"/>
        </w:rPr>
        <w:t xml:space="preserve"> Републички завод за статистику</w:t>
      </w:r>
      <w:r w:rsidR="00835F50">
        <w:rPr>
          <w:rFonts w:ascii="Tahoma" w:hAnsi="Tahoma" w:cs="Tahoma"/>
          <w:sz w:val="18"/>
          <w:szCs w:val="18"/>
          <w:lang w:val="sr-Cyrl-RS"/>
        </w:rPr>
        <w:t>.</w:t>
      </w:r>
    </w:p>
    <w:p w14:paraId="790CB70A" w14:textId="77777777" w:rsidR="008340AB" w:rsidRPr="008340AB" w:rsidRDefault="008340AB" w:rsidP="007327A7">
      <w:pPr>
        <w:spacing w:after="160" w:line="259" w:lineRule="auto"/>
        <w:jc w:val="both"/>
        <w:rPr>
          <w:rFonts w:ascii="Tahoma" w:hAnsi="Tahoma" w:cs="Tahoma"/>
          <w:b/>
          <w:iCs/>
          <w:sz w:val="10"/>
          <w:szCs w:val="10"/>
          <w:lang w:val="sr-Cyrl-RS"/>
        </w:rPr>
      </w:pPr>
    </w:p>
    <w:p w14:paraId="23C7A941" w14:textId="09095970" w:rsidR="000D6525" w:rsidRDefault="00C249FB" w:rsidP="007327A7">
      <w:pPr>
        <w:spacing w:after="160" w:line="259" w:lineRule="auto"/>
        <w:jc w:val="both"/>
        <w:rPr>
          <w:rFonts w:ascii="Tahoma" w:hAnsi="Tahoma" w:cs="Tahoma"/>
          <w:b/>
          <w:iCs/>
          <w:sz w:val="10"/>
          <w:szCs w:val="10"/>
          <w:lang w:val="sr-Cyrl-RS"/>
        </w:rPr>
      </w:pPr>
      <w:r w:rsidRPr="008340AB">
        <w:rPr>
          <w:rFonts w:ascii="Tahoma" w:hAnsi="Tahoma" w:cs="Tahoma"/>
          <w:b/>
          <w:iCs/>
          <w:color w:val="2F5496"/>
          <w:sz w:val="22"/>
          <w:szCs w:val="22"/>
          <w:lang w:val="sr-Cyrl-RS"/>
        </w:rPr>
        <w:t xml:space="preserve">Проценат имунизације деце је </w:t>
      </w:r>
      <w:r w:rsidR="00624F99">
        <w:rPr>
          <w:rFonts w:ascii="Tahoma" w:hAnsi="Tahoma" w:cs="Tahoma"/>
          <w:b/>
          <w:iCs/>
          <w:color w:val="2F5496"/>
          <w:sz w:val="22"/>
          <w:szCs w:val="22"/>
          <w:lang w:val="sr-Cyrl-RS"/>
        </w:rPr>
        <w:t>испо</w:t>
      </w:r>
      <w:r w:rsidR="007F13C6">
        <w:rPr>
          <w:rFonts w:ascii="Tahoma" w:hAnsi="Tahoma" w:cs="Tahoma"/>
          <w:b/>
          <w:iCs/>
          <w:color w:val="2F5496"/>
          <w:sz w:val="22"/>
          <w:szCs w:val="22"/>
          <w:lang w:val="sr-Cyrl-RS"/>
        </w:rPr>
        <w:t>д</w:t>
      </w:r>
      <w:r w:rsidR="00327A71">
        <w:rPr>
          <w:rFonts w:ascii="Tahoma" w:hAnsi="Tahoma" w:cs="Tahoma"/>
          <w:b/>
          <w:iCs/>
          <w:color w:val="2F5496"/>
          <w:sz w:val="22"/>
          <w:szCs w:val="22"/>
          <w:lang w:val="sr-Cyrl-RS"/>
        </w:rPr>
        <w:t xml:space="preserve"> просека Србија-југ</w:t>
      </w:r>
      <w:r w:rsidR="00624F99">
        <w:rPr>
          <w:rFonts w:ascii="Tahoma" w:hAnsi="Tahoma" w:cs="Tahoma"/>
          <w:b/>
          <w:iCs/>
          <w:color w:val="2F5496"/>
          <w:sz w:val="22"/>
          <w:szCs w:val="22"/>
          <w:lang w:val="sr-Cyrl-RS"/>
        </w:rPr>
        <w:t xml:space="preserve">, посебно </w:t>
      </w:r>
      <w:r w:rsidR="00B82F6B">
        <w:rPr>
          <w:rFonts w:ascii="Tahoma" w:hAnsi="Tahoma" w:cs="Tahoma"/>
          <w:b/>
          <w:iCs/>
          <w:color w:val="2F5496"/>
          <w:sz w:val="22"/>
          <w:szCs w:val="22"/>
          <w:lang w:val="sr-Cyrl-RS"/>
        </w:rPr>
        <w:t xml:space="preserve">у случају </w:t>
      </w:r>
      <w:r w:rsidRPr="008340AB">
        <w:rPr>
          <w:rFonts w:ascii="Tahoma" w:hAnsi="Tahoma" w:cs="Tahoma"/>
          <w:b/>
          <w:iCs/>
          <w:color w:val="2F5496"/>
          <w:sz w:val="22"/>
          <w:szCs w:val="22"/>
          <w:lang w:val="sr-Cyrl-RS"/>
        </w:rPr>
        <w:t>вакцина</w:t>
      </w:r>
      <w:r w:rsidR="00B82F6B">
        <w:rPr>
          <w:rFonts w:ascii="Tahoma" w:hAnsi="Tahoma" w:cs="Tahoma"/>
          <w:b/>
          <w:iCs/>
          <w:color w:val="2F5496"/>
          <w:sz w:val="22"/>
          <w:szCs w:val="22"/>
          <w:lang w:val="sr-Cyrl-RS"/>
        </w:rPr>
        <w:t>ције</w:t>
      </w:r>
      <w:r w:rsidRPr="008340AB">
        <w:rPr>
          <w:rFonts w:ascii="Tahoma" w:hAnsi="Tahoma" w:cs="Tahoma"/>
          <w:b/>
          <w:iCs/>
          <w:color w:val="2F5496"/>
          <w:sz w:val="22"/>
          <w:szCs w:val="22"/>
          <w:lang w:val="sr-Cyrl-RS"/>
        </w:rPr>
        <w:t xml:space="preserve"> против </w:t>
      </w:r>
      <w:r w:rsidR="00624F99">
        <w:rPr>
          <w:rFonts w:ascii="Tahoma" w:hAnsi="Tahoma" w:cs="Tahoma"/>
          <w:b/>
          <w:iCs/>
          <w:color w:val="2F5496"/>
          <w:sz w:val="22"/>
          <w:szCs w:val="22"/>
          <w:lang w:val="sr-Cyrl-RS"/>
        </w:rPr>
        <w:t>дифтерије, тетануса и великог кашља</w:t>
      </w:r>
      <w:r w:rsidRPr="008340AB">
        <w:rPr>
          <w:rFonts w:ascii="Tahoma" w:hAnsi="Tahoma" w:cs="Tahoma"/>
          <w:b/>
          <w:iCs/>
          <w:color w:val="2F5496"/>
          <w:sz w:val="22"/>
          <w:szCs w:val="22"/>
          <w:lang w:val="sr-Cyrl-RS"/>
        </w:rPr>
        <w:t xml:space="preserve">. </w:t>
      </w:r>
    </w:p>
    <w:p w14:paraId="08109305" w14:textId="252CA7F1" w:rsidR="00835F50" w:rsidRPr="00835F50" w:rsidRDefault="00C249FB" w:rsidP="007327A7">
      <w:pPr>
        <w:spacing w:after="160" w:line="259" w:lineRule="auto"/>
        <w:jc w:val="both"/>
        <w:rPr>
          <w:rFonts w:ascii="Tahoma" w:hAnsi="Tahoma" w:cs="Tahoma"/>
          <w:bCs/>
          <w:iCs/>
          <w:color w:val="2F5496"/>
          <w:sz w:val="22"/>
          <w:szCs w:val="22"/>
          <w:lang w:val="sr-Cyrl-RS"/>
        </w:rPr>
      </w:pPr>
      <w:r w:rsidRPr="00835F50">
        <w:rPr>
          <w:rFonts w:ascii="Tahoma" w:hAnsi="Tahoma" w:cs="Tahoma"/>
          <w:bCs/>
          <w:iCs/>
          <w:color w:val="2F5496"/>
          <w:sz w:val="22"/>
          <w:szCs w:val="22"/>
          <w:lang w:val="sr-Cyrl-RS"/>
        </w:rPr>
        <w:t>Табела 9. Имунизација, 20</w:t>
      </w:r>
      <w:r w:rsidR="00DC6091">
        <w:rPr>
          <w:rFonts w:ascii="Tahoma" w:hAnsi="Tahoma" w:cs="Tahoma"/>
          <w:bCs/>
          <w:iCs/>
          <w:color w:val="2F5496"/>
          <w:sz w:val="22"/>
          <w:szCs w:val="22"/>
          <w:lang w:val="sr-Cyrl-RS"/>
        </w:rPr>
        <w:t>20</w:t>
      </w:r>
      <w:r w:rsidRPr="00835F50">
        <w:rPr>
          <w:rFonts w:ascii="Tahoma" w:hAnsi="Tahoma" w:cs="Tahoma"/>
          <w:bCs/>
          <w:iCs/>
          <w:color w:val="2F5496"/>
          <w:sz w:val="22"/>
          <w:szCs w:val="22"/>
          <w:lang w:val="sr-Cyrl-RS"/>
        </w:rPr>
        <w:t>.</w:t>
      </w:r>
    </w:p>
    <w:tbl>
      <w:tblPr>
        <w:tblStyle w:val="GridTable5Dark-Accent51"/>
        <w:tblpPr w:leftFromText="180" w:rightFromText="180" w:vertAnchor="text" w:horzAnchor="margin" w:tblpX="-10" w:tblpY="4"/>
        <w:tblW w:w="9493" w:type="dxa"/>
        <w:tblLayout w:type="fixed"/>
        <w:tblLook w:val="04A0" w:firstRow="1" w:lastRow="0" w:firstColumn="1" w:lastColumn="0" w:noHBand="0" w:noVBand="1"/>
      </w:tblPr>
      <w:tblGrid>
        <w:gridCol w:w="5524"/>
        <w:gridCol w:w="1701"/>
        <w:gridCol w:w="2268"/>
      </w:tblGrid>
      <w:tr w:rsidR="00B33030" w:rsidRPr="00361404" w14:paraId="62B9AA65" w14:textId="77777777" w:rsidTr="00624B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right w:val="single" w:sz="4" w:space="0" w:color="FFFFFF" w:themeColor="background1"/>
            </w:tcBorders>
            <w:shd w:val="clear" w:color="auto" w:fill="2F5496" w:themeFill="accent1" w:themeFillShade="BF"/>
          </w:tcPr>
          <w:p w14:paraId="09F2990C" w14:textId="77777777" w:rsidR="00B33030" w:rsidRPr="00361404" w:rsidRDefault="00B33030" w:rsidP="00624B5E">
            <w:pPr>
              <w:spacing w:after="160" w:line="259" w:lineRule="auto"/>
              <w:jc w:val="both"/>
              <w:rPr>
                <w:rFonts w:ascii="Tahoma" w:hAnsi="Tahoma" w:cs="Tahoma"/>
                <w:sz w:val="21"/>
                <w:szCs w:val="21"/>
                <w:lang w:val="sr-Cyrl-RS"/>
              </w:rPr>
            </w:pPr>
          </w:p>
        </w:tc>
        <w:tc>
          <w:tcPr>
            <w:tcW w:w="1701" w:type="dxa"/>
            <w:tcBorders>
              <w:left w:val="single" w:sz="4" w:space="0" w:color="FFFFFF" w:themeColor="background1"/>
              <w:right w:val="single" w:sz="4" w:space="0" w:color="FFFFFF" w:themeColor="background1"/>
            </w:tcBorders>
            <w:shd w:val="clear" w:color="auto" w:fill="2F5496" w:themeFill="accent1" w:themeFillShade="BF"/>
            <w:vAlign w:val="center"/>
          </w:tcPr>
          <w:p w14:paraId="3AE61270" w14:textId="053EBC35" w:rsidR="00B33030" w:rsidRPr="00361404" w:rsidRDefault="00083C93" w:rsidP="00624B5E">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sz w:val="21"/>
                <w:szCs w:val="21"/>
                <w:lang w:val="sr-Cyrl-RS"/>
              </w:rPr>
            </w:pPr>
            <w:r>
              <w:rPr>
                <w:rFonts w:ascii="Tahoma" w:hAnsi="Tahoma" w:cs="Tahoma"/>
                <w:sz w:val="21"/>
                <w:szCs w:val="21"/>
                <w:lang w:val="sr-Cyrl-RS"/>
              </w:rPr>
              <w:t>Смедеревска Паланка</w:t>
            </w:r>
          </w:p>
        </w:tc>
        <w:tc>
          <w:tcPr>
            <w:tcW w:w="2268" w:type="dxa"/>
            <w:tcBorders>
              <w:left w:val="single" w:sz="4" w:space="0" w:color="FFFFFF" w:themeColor="background1"/>
            </w:tcBorders>
            <w:shd w:val="clear" w:color="auto" w:fill="2F5496" w:themeFill="accent1" w:themeFillShade="BF"/>
            <w:vAlign w:val="center"/>
          </w:tcPr>
          <w:p w14:paraId="275E2B8E" w14:textId="77777777" w:rsidR="00B33030" w:rsidRPr="00361404" w:rsidRDefault="00B33030" w:rsidP="00624B5E">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sz w:val="21"/>
                <w:szCs w:val="21"/>
                <w:lang w:val="sr-Cyrl-RS"/>
              </w:rPr>
            </w:pPr>
            <w:r>
              <w:rPr>
                <w:rFonts w:ascii="Tahoma" w:hAnsi="Tahoma" w:cs="Tahoma"/>
                <w:sz w:val="21"/>
                <w:szCs w:val="21"/>
                <w:lang w:val="sr-Cyrl-RS"/>
              </w:rPr>
              <w:t>Србија-југ</w:t>
            </w:r>
          </w:p>
        </w:tc>
      </w:tr>
      <w:tr w:rsidR="00B33030" w:rsidRPr="00361404" w14:paraId="55CEEC33" w14:textId="77777777" w:rsidTr="00624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shd w:val="clear" w:color="auto" w:fill="D9E2F3" w:themeFill="accent1" w:themeFillTint="33"/>
          </w:tcPr>
          <w:p w14:paraId="07CACD4C" w14:textId="77777777" w:rsidR="00B33030" w:rsidRPr="00B02F97" w:rsidRDefault="00B33030" w:rsidP="00624B5E">
            <w:pPr>
              <w:spacing w:after="160" w:line="259" w:lineRule="auto"/>
              <w:jc w:val="both"/>
              <w:rPr>
                <w:rFonts w:ascii="Tahoma" w:hAnsi="Tahoma" w:cs="Tahoma"/>
                <w:color w:val="1F3864" w:themeColor="accent1" w:themeShade="80"/>
                <w:sz w:val="21"/>
                <w:szCs w:val="21"/>
                <w:lang w:val="sr-Cyrl-RS"/>
              </w:rPr>
            </w:pPr>
            <w:r w:rsidRPr="00835F50">
              <w:rPr>
                <w:rFonts w:ascii="Tahoma" w:hAnsi="Tahoma" w:cs="Tahoma"/>
                <w:color w:val="1F3864" w:themeColor="accent1" w:themeShade="80"/>
                <w:sz w:val="21"/>
                <w:szCs w:val="21"/>
                <w:lang w:val="sr-Cyrl-RS"/>
              </w:rPr>
              <w:t>Проценат деце која су вакцинисана против дифтерије, тетануса и великог кашља у првој години живота</w:t>
            </w:r>
          </w:p>
        </w:tc>
        <w:tc>
          <w:tcPr>
            <w:tcW w:w="1701" w:type="dxa"/>
            <w:shd w:val="clear" w:color="auto" w:fill="D9E2F3" w:themeFill="accent1" w:themeFillTint="33"/>
          </w:tcPr>
          <w:p w14:paraId="0A327F9B" w14:textId="22CFBA2B" w:rsidR="00B33030" w:rsidRPr="00083C93" w:rsidRDefault="00083C93" w:rsidP="000E0B2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lang w:val="sr-Cyrl-RS"/>
              </w:rPr>
            </w:pPr>
            <w:r>
              <w:rPr>
                <w:rFonts w:ascii="Tahoma" w:hAnsi="Tahoma" w:cs="Tahoma"/>
                <w:sz w:val="21"/>
                <w:szCs w:val="21"/>
                <w:lang w:val="sr-Cyrl-RS"/>
              </w:rPr>
              <w:t>77,3</w:t>
            </w:r>
          </w:p>
        </w:tc>
        <w:tc>
          <w:tcPr>
            <w:tcW w:w="2268" w:type="dxa"/>
            <w:shd w:val="clear" w:color="auto" w:fill="D9E2F3" w:themeFill="accent1" w:themeFillTint="33"/>
          </w:tcPr>
          <w:p w14:paraId="4E560A1D" w14:textId="77777777" w:rsidR="00B33030" w:rsidRPr="00835F50" w:rsidRDefault="00B33030" w:rsidP="000E0B2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lang w:val="sr-Cyrl-RS"/>
              </w:rPr>
            </w:pPr>
            <w:r w:rsidRPr="00835F50">
              <w:rPr>
                <w:rFonts w:ascii="Tahoma" w:hAnsi="Tahoma" w:cs="Tahoma"/>
                <w:sz w:val="21"/>
                <w:szCs w:val="21"/>
              </w:rPr>
              <w:t>9</w:t>
            </w:r>
            <w:r>
              <w:rPr>
                <w:rFonts w:ascii="Tahoma" w:hAnsi="Tahoma" w:cs="Tahoma"/>
                <w:sz w:val="21"/>
                <w:szCs w:val="21"/>
              </w:rPr>
              <w:t>2</w:t>
            </w:r>
            <w:r w:rsidRPr="00835F50">
              <w:rPr>
                <w:rFonts w:ascii="Tahoma" w:hAnsi="Tahoma" w:cs="Tahoma"/>
                <w:sz w:val="21"/>
                <w:szCs w:val="21"/>
              </w:rPr>
              <w:t>,</w:t>
            </w:r>
            <w:r>
              <w:rPr>
                <w:rFonts w:ascii="Tahoma" w:hAnsi="Tahoma" w:cs="Tahoma"/>
                <w:sz w:val="21"/>
                <w:szCs w:val="21"/>
              </w:rPr>
              <w:t>4</w:t>
            </w:r>
          </w:p>
        </w:tc>
      </w:tr>
      <w:tr w:rsidR="00B33030" w:rsidRPr="00361404" w14:paraId="5D70B848" w14:textId="77777777" w:rsidTr="00624B5E">
        <w:tc>
          <w:tcPr>
            <w:cnfStyle w:val="001000000000" w:firstRow="0" w:lastRow="0" w:firstColumn="1" w:lastColumn="0" w:oddVBand="0" w:evenVBand="0" w:oddHBand="0" w:evenHBand="0" w:firstRowFirstColumn="0" w:firstRowLastColumn="0" w:lastRowFirstColumn="0" w:lastRowLastColumn="0"/>
            <w:tcW w:w="5524" w:type="dxa"/>
            <w:shd w:val="clear" w:color="auto" w:fill="B4C6E7" w:themeFill="accent1" w:themeFillTint="66"/>
          </w:tcPr>
          <w:p w14:paraId="7E484F6B" w14:textId="77777777" w:rsidR="00B33030" w:rsidRPr="00B02F97" w:rsidRDefault="00B33030" w:rsidP="00624B5E">
            <w:pPr>
              <w:spacing w:after="160" w:line="259" w:lineRule="auto"/>
              <w:jc w:val="both"/>
              <w:rPr>
                <w:rFonts w:ascii="Tahoma" w:hAnsi="Tahoma" w:cs="Tahoma"/>
                <w:color w:val="1F3864" w:themeColor="accent1" w:themeShade="80"/>
                <w:sz w:val="21"/>
                <w:szCs w:val="21"/>
                <w:lang w:val="sr-Cyrl-RS"/>
              </w:rPr>
            </w:pPr>
            <w:r w:rsidRPr="00835F50">
              <w:rPr>
                <w:rFonts w:ascii="Tahoma" w:hAnsi="Tahoma" w:cs="Tahoma"/>
                <w:color w:val="1F3864" w:themeColor="accent1" w:themeShade="80"/>
                <w:sz w:val="21"/>
                <w:szCs w:val="21"/>
                <w:lang w:val="sr-Cyrl-RS"/>
              </w:rPr>
              <w:t>Проценат деце која су вакцинисана против малих богиња у првих 18 месеци живота</w:t>
            </w:r>
          </w:p>
        </w:tc>
        <w:tc>
          <w:tcPr>
            <w:tcW w:w="1701" w:type="dxa"/>
            <w:shd w:val="clear" w:color="auto" w:fill="B4C6E7" w:themeFill="accent1" w:themeFillTint="66"/>
          </w:tcPr>
          <w:p w14:paraId="371BB57B" w14:textId="2363F440" w:rsidR="00B33030" w:rsidRPr="00083C93" w:rsidRDefault="00083C93" w:rsidP="000E0B2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lang w:val="sr-Cyrl-RS"/>
              </w:rPr>
            </w:pPr>
            <w:r>
              <w:rPr>
                <w:rFonts w:ascii="Tahoma" w:hAnsi="Tahoma" w:cs="Tahoma"/>
                <w:sz w:val="21"/>
                <w:szCs w:val="21"/>
                <w:lang w:val="sr-Cyrl-RS"/>
              </w:rPr>
              <w:t>74,4</w:t>
            </w:r>
          </w:p>
        </w:tc>
        <w:tc>
          <w:tcPr>
            <w:tcW w:w="2268" w:type="dxa"/>
            <w:shd w:val="clear" w:color="auto" w:fill="B4C6E7" w:themeFill="accent1" w:themeFillTint="66"/>
          </w:tcPr>
          <w:p w14:paraId="3D0E0208" w14:textId="77777777" w:rsidR="00B33030" w:rsidRPr="00835F50" w:rsidRDefault="00B33030" w:rsidP="000E0B2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lang w:val="sr-Cyrl-RS"/>
              </w:rPr>
            </w:pPr>
            <w:r>
              <w:rPr>
                <w:rFonts w:ascii="Tahoma" w:hAnsi="Tahoma" w:cs="Tahoma"/>
                <w:sz w:val="21"/>
                <w:szCs w:val="21"/>
              </w:rPr>
              <w:t>79,7</w:t>
            </w:r>
          </w:p>
        </w:tc>
      </w:tr>
    </w:tbl>
    <w:p w14:paraId="4DCA0F23" w14:textId="2BAFB8B5" w:rsidR="00835F50" w:rsidRDefault="00835F50" w:rsidP="007327A7">
      <w:pPr>
        <w:spacing w:after="160" w:line="259" w:lineRule="auto"/>
        <w:jc w:val="both"/>
        <w:rPr>
          <w:rFonts w:ascii="Tahoma" w:hAnsi="Tahoma" w:cs="Tahoma"/>
          <w:sz w:val="18"/>
          <w:szCs w:val="18"/>
          <w:lang w:val="sr-Cyrl-RS"/>
        </w:rPr>
      </w:pPr>
      <w:r w:rsidRPr="00AF3C50">
        <w:rPr>
          <w:rFonts w:ascii="Tahoma" w:hAnsi="Tahoma" w:cs="Tahoma"/>
          <w:sz w:val="18"/>
          <w:szCs w:val="18"/>
          <w:lang w:val="sr-Cyrl-RS"/>
        </w:rPr>
        <w:t>Извор: ДевИнфо база</w:t>
      </w:r>
      <w:r>
        <w:rPr>
          <w:rFonts w:ascii="Tahoma" w:hAnsi="Tahoma" w:cs="Tahoma"/>
          <w:sz w:val="18"/>
          <w:szCs w:val="18"/>
        </w:rPr>
        <w:t>,</w:t>
      </w:r>
      <w:r w:rsidRPr="00AF3C50">
        <w:rPr>
          <w:rFonts w:ascii="Tahoma" w:hAnsi="Tahoma" w:cs="Tahoma"/>
          <w:sz w:val="18"/>
          <w:szCs w:val="18"/>
          <w:lang w:val="sr-Cyrl-RS"/>
        </w:rPr>
        <w:t xml:space="preserve"> Републички завод за статистику</w:t>
      </w:r>
      <w:r>
        <w:rPr>
          <w:rFonts w:ascii="Tahoma" w:hAnsi="Tahoma" w:cs="Tahoma"/>
          <w:sz w:val="18"/>
          <w:szCs w:val="18"/>
          <w:lang w:val="sr-Cyrl-RS"/>
        </w:rPr>
        <w:t>.</w:t>
      </w:r>
    </w:p>
    <w:p w14:paraId="7664CB85" w14:textId="77777777" w:rsidR="00076FAD" w:rsidRPr="00835F50" w:rsidRDefault="00076FAD" w:rsidP="007327A7">
      <w:pPr>
        <w:spacing w:after="160" w:line="259" w:lineRule="auto"/>
        <w:jc w:val="both"/>
        <w:rPr>
          <w:rFonts w:asciiTheme="minorHAnsi" w:hAnsiTheme="minorHAnsi" w:cstheme="minorHAnsi"/>
          <w:b/>
          <w:smallCaps/>
          <w:strike/>
          <w:sz w:val="10"/>
          <w:szCs w:val="10"/>
          <w:lang w:val="sr-Cyrl-RS"/>
        </w:rPr>
      </w:pPr>
    </w:p>
    <w:p w14:paraId="1B687E51" w14:textId="32045588" w:rsidR="00515957" w:rsidRPr="0001364C" w:rsidRDefault="00515957" w:rsidP="007327A7">
      <w:pPr>
        <w:pStyle w:val="NormalWeb"/>
        <w:shd w:val="clear" w:color="auto" w:fill="D9E2F3" w:themeFill="accent1" w:themeFillTint="33"/>
        <w:spacing w:before="0" w:beforeAutospacing="0" w:after="160" w:afterAutospacing="0" w:line="259" w:lineRule="auto"/>
        <w:jc w:val="both"/>
        <w:rPr>
          <w:rFonts w:ascii="Tahoma" w:eastAsia="Times New Roman" w:hAnsi="Tahoma" w:cs="Tahoma"/>
          <w:b/>
          <w:bCs/>
          <w:color w:val="1F3864" w:themeColor="accent1" w:themeShade="80"/>
          <w:sz w:val="22"/>
          <w:szCs w:val="22"/>
          <w:lang w:val="sr-Cyrl-RS" w:eastAsia="en-GB"/>
        </w:rPr>
      </w:pPr>
      <w:r w:rsidRPr="0001364C">
        <w:rPr>
          <w:rFonts w:ascii="Tahoma" w:eastAsia="Times New Roman" w:hAnsi="Tahoma" w:cs="Tahoma"/>
          <w:b/>
          <w:bCs/>
          <w:color w:val="1F3864" w:themeColor="accent1" w:themeShade="80"/>
          <w:sz w:val="22"/>
          <w:szCs w:val="22"/>
          <w:lang w:val="sr-Cyrl-RS" w:eastAsia="en-GB"/>
        </w:rPr>
        <w:t>Б</w:t>
      </w:r>
      <w:r w:rsidR="008A50D2" w:rsidRPr="0001364C">
        <w:rPr>
          <w:rFonts w:ascii="Tahoma" w:eastAsia="Times New Roman" w:hAnsi="Tahoma" w:cs="Tahoma"/>
          <w:b/>
          <w:bCs/>
          <w:color w:val="1F3864" w:themeColor="accent1" w:themeShade="80"/>
          <w:sz w:val="22"/>
          <w:szCs w:val="22"/>
          <w:lang w:val="sr-Cyrl-RS" w:eastAsia="en-GB"/>
        </w:rPr>
        <w:t xml:space="preserve">окс </w:t>
      </w:r>
      <w:r w:rsidR="00E07F73">
        <w:rPr>
          <w:rFonts w:ascii="Tahoma" w:eastAsia="Times New Roman" w:hAnsi="Tahoma" w:cs="Tahoma"/>
          <w:b/>
          <w:bCs/>
          <w:color w:val="1F3864" w:themeColor="accent1" w:themeShade="80"/>
          <w:sz w:val="22"/>
          <w:szCs w:val="22"/>
          <w:lang w:val="sr-Cyrl-RS" w:eastAsia="en-GB"/>
        </w:rPr>
        <w:t>7</w:t>
      </w:r>
      <w:r w:rsidRPr="0001364C">
        <w:rPr>
          <w:rFonts w:ascii="Tahoma" w:eastAsia="Times New Roman" w:hAnsi="Tahoma" w:cs="Tahoma"/>
          <w:b/>
          <w:bCs/>
          <w:color w:val="1F3864" w:themeColor="accent1" w:themeShade="80"/>
          <w:sz w:val="22"/>
          <w:szCs w:val="22"/>
          <w:lang w:val="sr-Cyrl-RS" w:eastAsia="en-GB"/>
        </w:rPr>
        <w:t>. ЦОР И</w:t>
      </w:r>
      <w:r w:rsidR="008A50D2" w:rsidRPr="0001364C">
        <w:rPr>
          <w:rFonts w:ascii="Tahoma" w:eastAsia="Times New Roman" w:hAnsi="Tahoma" w:cs="Tahoma"/>
          <w:b/>
          <w:bCs/>
          <w:color w:val="1F3864" w:themeColor="accent1" w:themeShade="80"/>
          <w:sz w:val="22"/>
          <w:szCs w:val="22"/>
          <w:lang w:val="sr-Cyrl-RS" w:eastAsia="en-GB"/>
        </w:rPr>
        <w:t>ндикатори доброг здравља за локално становништво</w:t>
      </w:r>
    </w:p>
    <w:p w14:paraId="12C29736" w14:textId="741DB83C" w:rsidR="00515957" w:rsidRPr="00B42903" w:rsidRDefault="00515957" w:rsidP="007327A7">
      <w:pPr>
        <w:pStyle w:val="NormalWeb"/>
        <w:shd w:val="clear" w:color="auto" w:fill="D9E2F3" w:themeFill="accent1" w:themeFillTint="33"/>
        <w:spacing w:before="0" w:beforeAutospacing="0" w:after="160" w:afterAutospacing="0" w:line="259" w:lineRule="auto"/>
        <w:jc w:val="both"/>
        <w:rPr>
          <w:rFonts w:ascii="Tahoma" w:eastAsia="Times New Roman" w:hAnsi="Tahoma" w:cs="Tahoma"/>
          <w:bCs/>
          <w:sz w:val="22"/>
          <w:szCs w:val="22"/>
          <w:lang w:val="sr-Cyrl-RS" w:eastAsia="en-GB"/>
        </w:rPr>
      </w:pPr>
      <w:r w:rsidRPr="00B42903">
        <w:rPr>
          <w:rFonts w:ascii="Tahoma" w:eastAsia="Times New Roman" w:hAnsi="Tahoma" w:cs="Tahoma"/>
          <w:bCs/>
          <w:sz w:val="22"/>
          <w:szCs w:val="22"/>
          <w:lang w:val="sr-Cyrl-RS" w:eastAsia="en-GB"/>
        </w:rPr>
        <w:t>Међу индикаторима уз помоћ којих се прате циљеви одрживог развоја у сфери доброг здравља за локални ниво у ДевИнфо бази су доступни индикатори Стопа неонаталне смртности (3.2.2.), Инциденца туберкулозе на 100.000 становника (3.3.2) и Стопа смртности услед самоубиства на 100.000 становника (3.4.2).</w:t>
      </w:r>
    </w:p>
    <w:p w14:paraId="7FACAC17" w14:textId="133BD920" w:rsidR="00515957" w:rsidRDefault="00515957" w:rsidP="007327A7">
      <w:pPr>
        <w:pStyle w:val="NormalWeb"/>
        <w:shd w:val="clear" w:color="auto" w:fill="D9E2F3" w:themeFill="accent1" w:themeFillTint="33"/>
        <w:spacing w:before="0" w:beforeAutospacing="0" w:after="160" w:afterAutospacing="0" w:line="259" w:lineRule="auto"/>
        <w:jc w:val="both"/>
        <w:rPr>
          <w:rFonts w:ascii="Tahoma" w:eastAsia="Times New Roman" w:hAnsi="Tahoma" w:cs="Tahoma"/>
          <w:bCs/>
          <w:sz w:val="22"/>
          <w:szCs w:val="22"/>
          <w:lang w:val="sr-Cyrl-RS" w:eastAsia="en-GB"/>
        </w:rPr>
      </w:pPr>
      <w:r w:rsidRPr="00B42903">
        <w:rPr>
          <w:rFonts w:ascii="Tahoma" w:eastAsia="Times New Roman" w:hAnsi="Tahoma" w:cs="Tahoma"/>
          <w:bCs/>
          <w:sz w:val="22"/>
          <w:szCs w:val="22"/>
          <w:lang w:val="sr-Cyrl-RS" w:eastAsia="en-GB"/>
        </w:rPr>
        <w:t xml:space="preserve">Уместо ЦОР индикатора Стопа смртности деце испод 5 година старости (3.2.1) у ДевИнфо бази се прати стопа смртности одојчади, уместо индикатора Удео циљне популације </w:t>
      </w:r>
      <w:r w:rsidRPr="00B42903">
        <w:rPr>
          <w:rFonts w:ascii="Tahoma" w:eastAsia="Times New Roman" w:hAnsi="Tahoma" w:cs="Tahoma"/>
          <w:bCs/>
          <w:sz w:val="22"/>
          <w:szCs w:val="22"/>
          <w:lang w:val="sr-Cyrl-RS" w:eastAsia="en-GB"/>
        </w:rPr>
        <w:lastRenderedPageBreak/>
        <w:t xml:space="preserve">обухваћене свим вакцинама из националног програма (3.б.1) расположив је податак о проценту деце која су вакцинисана против дифтерије, тетануса, као </w:t>
      </w:r>
      <w:r w:rsidR="00B42903">
        <w:rPr>
          <w:rFonts w:ascii="Tahoma" w:eastAsia="Times New Roman" w:hAnsi="Tahoma" w:cs="Tahoma"/>
          <w:bCs/>
          <w:sz w:val="22"/>
          <w:szCs w:val="22"/>
          <w:lang w:val="sr-Cyrl-RS" w:eastAsia="en-GB"/>
        </w:rPr>
        <w:t>и</w:t>
      </w:r>
      <w:r w:rsidRPr="00B42903">
        <w:rPr>
          <w:rFonts w:ascii="Tahoma" w:eastAsia="Times New Roman" w:hAnsi="Tahoma" w:cs="Tahoma"/>
          <w:bCs/>
          <w:sz w:val="22"/>
          <w:szCs w:val="22"/>
          <w:lang w:val="sr-Cyrl-RS" w:eastAsia="en-GB"/>
        </w:rPr>
        <w:t xml:space="preserve"> о проценту деце која су вакцинисана против малих богиња у првих 18 месеци живота, а уместо индикатора Густина и дистрибуција здравствених радника на 10.000 становника (3.ц.1) расположиви су подаци о броју лекара у примарној здравственој заштити на 1.000 становника.</w:t>
      </w:r>
    </w:p>
    <w:p w14:paraId="7A054A95" w14:textId="77777777" w:rsidR="00B42903" w:rsidRPr="00B42903" w:rsidRDefault="00B42903" w:rsidP="007327A7">
      <w:pPr>
        <w:pStyle w:val="NormalWeb"/>
        <w:shd w:val="clear" w:color="auto" w:fill="D9E2F3" w:themeFill="accent1" w:themeFillTint="33"/>
        <w:spacing w:before="0" w:beforeAutospacing="0" w:after="160" w:afterAutospacing="0" w:line="259" w:lineRule="auto"/>
        <w:jc w:val="both"/>
        <w:rPr>
          <w:rFonts w:ascii="Tahoma" w:eastAsia="Times New Roman" w:hAnsi="Tahoma" w:cs="Tahoma"/>
          <w:bCs/>
          <w:sz w:val="10"/>
          <w:szCs w:val="10"/>
          <w:lang w:val="sr-Cyrl-RS" w:eastAsia="en-GB"/>
        </w:rPr>
      </w:pPr>
    </w:p>
    <w:p w14:paraId="7B0C5C4A" w14:textId="77777777" w:rsidR="00B42903" w:rsidRPr="00B42903" w:rsidRDefault="00B42903" w:rsidP="007327A7">
      <w:pPr>
        <w:spacing w:after="160" w:line="259" w:lineRule="auto"/>
        <w:jc w:val="both"/>
        <w:rPr>
          <w:rFonts w:ascii="Tahoma" w:hAnsi="Tahoma" w:cs="Tahoma"/>
          <w:b/>
          <w:sz w:val="10"/>
          <w:szCs w:val="10"/>
          <w:lang w:val="sr-Cyrl-RS"/>
        </w:rPr>
      </w:pPr>
    </w:p>
    <w:p w14:paraId="008EC713" w14:textId="1B64212E" w:rsidR="003C3111" w:rsidRPr="00B42903" w:rsidRDefault="003C3111" w:rsidP="007327A7">
      <w:pPr>
        <w:spacing w:after="160" w:line="259" w:lineRule="auto"/>
        <w:jc w:val="both"/>
        <w:rPr>
          <w:rFonts w:ascii="Tahoma" w:hAnsi="Tahoma" w:cs="Tahoma"/>
          <w:sz w:val="22"/>
          <w:szCs w:val="22"/>
          <w:lang w:val="sr-Cyrl-RS"/>
        </w:rPr>
      </w:pPr>
      <w:proofErr w:type="spellStart"/>
      <w:r w:rsidRPr="00D208B6">
        <w:rPr>
          <w:rFonts w:ascii="Tahoma" w:hAnsi="Tahoma" w:cs="Tahoma"/>
          <w:b/>
          <w:color w:val="2F5496"/>
          <w:sz w:val="22"/>
          <w:szCs w:val="22"/>
          <w:lang w:val="sr-Cyrl-RS"/>
        </w:rPr>
        <w:t>Неонатална</w:t>
      </w:r>
      <w:proofErr w:type="spellEnd"/>
      <w:r w:rsidRPr="00D208B6">
        <w:rPr>
          <w:rFonts w:ascii="Tahoma" w:hAnsi="Tahoma" w:cs="Tahoma"/>
          <w:b/>
          <w:color w:val="2F5496"/>
          <w:sz w:val="22"/>
          <w:szCs w:val="22"/>
          <w:lang w:val="sr-Cyrl-RS"/>
        </w:rPr>
        <w:t xml:space="preserve"> и смртност одојчади </w:t>
      </w:r>
      <w:r w:rsidRPr="00B42903">
        <w:rPr>
          <w:rFonts w:ascii="Tahoma" w:hAnsi="Tahoma" w:cs="Tahoma"/>
          <w:sz w:val="22"/>
          <w:szCs w:val="22"/>
          <w:lang w:val="sr-Cyrl-RS"/>
        </w:rPr>
        <w:t xml:space="preserve">у </w:t>
      </w:r>
      <w:r w:rsidR="00624F99">
        <w:rPr>
          <w:rFonts w:ascii="Tahoma" w:hAnsi="Tahoma" w:cs="Tahoma"/>
          <w:sz w:val="22"/>
          <w:szCs w:val="22"/>
          <w:lang w:val="sr-Cyrl-RS"/>
        </w:rPr>
        <w:t>Смедеревској Паланци</w:t>
      </w:r>
      <w:r w:rsidR="000E0B2D">
        <w:rPr>
          <w:rFonts w:ascii="Tahoma" w:hAnsi="Tahoma" w:cs="Tahoma"/>
          <w:sz w:val="22"/>
          <w:szCs w:val="22"/>
          <w:lang w:val="sr-Cyrl-RS"/>
        </w:rPr>
        <w:t xml:space="preserve"> је </w:t>
      </w:r>
      <w:r w:rsidR="00624F99">
        <w:rPr>
          <w:rFonts w:ascii="Tahoma" w:hAnsi="Tahoma" w:cs="Tahoma"/>
          <w:sz w:val="22"/>
          <w:szCs w:val="22"/>
          <w:lang w:val="sr-Cyrl-RS"/>
        </w:rPr>
        <w:t xml:space="preserve">на приближно на нивоу </w:t>
      </w:r>
      <w:r w:rsidRPr="006E780A">
        <w:rPr>
          <w:rFonts w:ascii="Tahoma" w:hAnsi="Tahoma" w:cs="Tahoma"/>
          <w:color w:val="000000" w:themeColor="text1"/>
          <w:sz w:val="22"/>
          <w:szCs w:val="22"/>
          <w:lang w:val="sr-Cyrl-RS"/>
        </w:rPr>
        <w:t>просека Србиј</w:t>
      </w:r>
      <w:r w:rsidR="00327A71" w:rsidRPr="006E780A">
        <w:rPr>
          <w:rFonts w:ascii="Tahoma" w:hAnsi="Tahoma" w:cs="Tahoma"/>
          <w:color w:val="000000" w:themeColor="text1"/>
          <w:sz w:val="22"/>
          <w:szCs w:val="22"/>
          <w:lang w:val="sr-Cyrl-RS"/>
        </w:rPr>
        <w:t>а-југ</w:t>
      </w:r>
      <w:r w:rsidR="000E0B2D" w:rsidRPr="006E780A">
        <w:rPr>
          <w:rFonts w:ascii="Tahoma" w:hAnsi="Tahoma" w:cs="Tahoma"/>
          <w:color w:val="000000" w:themeColor="text1"/>
          <w:sz w:val="22"/>
          <w:szCs w:val="22"/>
          <w:lang w:val="sr-Cyrl-RS"/>
        </w:rPr>
        <w:t xml:space="preserve"> </w:t>
      </w:r>
      <w:r w:rsidR="00624F99" w:rsidRPr="006E780A">
        <w:rPr>
          <w:rFonts w:ascii="Tahoma" w:hAnsi="Tahoma" w:cs="Tahoma"/>
          <w:color w:val="000000" w:themeColor="text1"/>
          <w:sz w:val="22"/>
          <w:szCs w:val="22"/>
          <w:lang w:val="sr-Cyrl-RS"/>
        </w:rPr>
        <w:t>када се</w:t>
      </w:r>
      <w:r w:rsidR="00624F99" w:rsidRPr="006E780A">
        <w:rPr>
          <w:rFonts w:ascii="Tahoma" w:hAnsi="Tahoma" w:cs="Tahoma"/>
          <w:b/>
          <w:bCs/>
          <w:color w:val="000000" w:themeColor="text1"/>
          <w:sz w:val="22"/>
          <w:szCs w:val="22"/>
          <w:lang w:val="sr-Cyrl-RS"/>
        </w:rPr>
        <w:t xml:space="preserve"> </w:t>
      </w:r>
      <w:r w:rsidRPr="006E780A">
        <w:rPr>
          <w:rFonts w:ascii="Tahoma" w:hAnsi="Tahoma" w:cs="Tahoma"/>
          <w:color w:val="000000" w:themeColor="text1"/>
          <w:sz w:val="22"/>
          <w:szCs w:val="22"/>
          <w:lang w:val="sr-Cyrl-RS"/>
        </w:rPr>
        <w:t xml:space="preserve"> </w:t>
      </w:r>
      <w:r w:rsidR="00624F99">
        <w:rPr>
          <w:rFonts w:ascii="Tahoma" w:hAnsi="Tahoma" w:cs="Tahoma"/>
          <w:sz w:val="22"/>
          <w:szCs w:val="22"/>
          <w:lang w:val="sr-Cyrl-RS"/>
        </w:rPr>
        <w:t xml:space="preserve">посматра </w:t>
      </w:r>
      <w:r w:rsidR="00624F99" w:rsidRPr="00B42903">
        <w:rPr>
          <w:rFonts w:ascii="Tahoma" w:hAnsi="Tahoma" w:cs="Tahoma"/>
          <w:sz w:val="22"/>
          <w:szCs w:val="22"/>
          <w:lang w:val="sr-Cyrl-RS"/>
        </w:rPr>
        <w:t>десетогодишњ</w:t>
      </w:r>
      <w:r w:rsidR="00624F99">
        <w:rPr>
          <w:rFonts w:ascii="Tahoma" w:hAnsi="Tahoma" w:cs="Tahoma"/>
          <w:sz w:val="22"/>
          <w:szCs w:val="22"/>
          <w:lang w:val="sr-Cyrl-RS"/>
        </w:rPr>
        <w:t>и</w:t>
      </w:r>
      <w:r w:rsidR="00624F99" w:rsidRPr="00B42903">
        <w:rPr>
          <w:rFonts w:ascii="Tahoma" w:hAnsi="Tahoma" w:cs="Tahoma"/>
          <w:sz w:val="22"/>
          <w:szCs w:val="22"/>
          <w:lang w:val="sr-Cyrl-RS"/>
        </w:rPr>
        <w:t xml:space="preserve"> просек</w:t>
      </w:r>
      <w:r w:rsidR="00624F99">
        <w:rPr>
          <w:rFonts w:ascii="Tahoma" w:hAnsi="Tahoma" w:cs="Tahoma"/>
          <w:sz w:val="22"/>
          <w:szCs w:val="22"/>
          <w:lang w:val="sr-Cyrl-RS"/>
        </w:rPr>
        <w:t xml:space="preserve"> </w:t>
      </w:r>
      <w:r w:rsidR="00624F99" w:rsidRPr="00B42903">
        <w:rPr>
          <w:rFonts w:ascii="Tahoma" w:hAnsi="Tahoma" w:cs="Tahoma"/>
          <w:sz w:val="22"/>
          <w:szCs w:val="22"/>
          <w:lang w:val="sr-Cyrl-RS"/>
        </w:rPr>
        <w:t>(</w:t>
      </w:r>
      <w:r w:rsidR="00624F99">
        <w:rPr>
          <w:rFonts w:ascii="Tahoma" w:hAnsi="Tahoma" w:cs="Tahoma"/>
          <w:sz w:val="22"/>
          <w:szCs w:val="22"/>
          <w:lang w:val="sr-Cyrl-RS"/>
        </w:rPr>
        <w:t>Табела 10 и Г</w:t>
      </w:r>
      <w:r w:rsidR="00624F99" w:rsidRPr="00B42903">
        <w:rPr>
          <w:rFonts w:ascii="Tahoma" w:hAnsi="Tahoma" w:cs="Tahoma"/>
          <w:sz w:val="22"/>
          <w:szCs w:val="22"/>
          <w:lang w:val="sr-Cyrl-RS"/>
        </w:rPr>
        <w:t xml:space="preserve">рафикон </w:t>
      </w:r>
      <w:r w:rsidR="008A73B9">
        <w:rPr>
          <w:rFonts w:ascii="Tahoma" w:hAnsi="Tahoma" w:cs="Tahoma"/>
          <w:sz w:val="22"/>
          <w:szCs w:val="22"/>
          <w:lang w:val="sr-Latn-RS"/>
        </w:rPr>
        <w:t>4</w:t>
      </w:r>
      <w:r w:rsidR="00624F99" w:rsidRPr="00B42903">
        <w:rPr>
          <w:rFonts w:ascii="Tahoma" w:hAnsi="Tahoma" w:cs="Tahoma"/>
          <w:sz w:val="22"/>
          <w:szCs w:val="22"/>
          <w:lang w:val="sr-Cyrl-RS"/>
        </w:rPr>
        <w:t>)</w:t>
      </w:r>
      <w:r w:rsidR="00624F99">
        <w:rPr>
          <w:rFonts w:ascii="Tahoma" w:hAnsi="Tahoma" w:cs="Tahoma"/>
          <w:sz w:val="22"/>
          <w:szCs w:val="22"/>
          <w:lang w:val="sr-Cyrl-RS"/>
        </w:rPr>
        <w:t>.</w:t>
      </w:r>
      <w:r w:rsidR="00624F99" w:rsidRPr="00B42903">
        <w:rPr>
          <w:rFonts w:ascii="Tahoma" w:hAnsi="Tahoma" w:cs="Tahoma"/>
          <w:sz w:val="22"/>
          <w:szCs w:val="22"/>
          <w:lang w:val="sr-Cyrl-RS"/>
        </w:rPr>
        <w:t xml:space="preserve"> </w:t>
      </w:r>
      <w:r w:rsidRPr="00B42903">
        <w:rPr>
          <w:rFonts w:ascii="Tahoma" w:hAnsi="Tahoma" w:cs="Tahoma"/>
          <w:sz w:val="22"/>
          <w:szCs w:val="22"/>
          <w:lang w:val="sr-Cyrl-RS"/>
        </w:rPr>
        <w:t>Вредности индикатора од године до године варирају</w:t>
      </w:r>
      <w:r w:rsidR="00D03A8D">
        <w:rPr>
          <w:rFonts w:ascii="Tahoma" w:hAnsi="Tahoma" w:cs="Tahoma"/>
          <w:sz w:val="22"/>
          <w:szCs w:val="22"/>
          <w:lang w:val="sr-Cyrl-RS"/>
        </w:rPr>
        <w:t>,</w:t>
      </w:r>
      <w:r w:rsidRPr="00B42903">
        <w:rPr>
          <w:rFonts w:ascii="Tahoma" w:hAnsi="Tahoma" w:cs="Tahoma"/>
          <w:sz w:val="22"/>
          <w:szCs w:val="22"/>
          <w:lang w:val="sr-Cyrl-RS"/>
        </w:rPr>
        <w:t xml:space="preserve"> </w:t>
      </w:r>
      <w:r w:rsidR="00624F99">
        <w:rPr>
          <w:rFonts w:ascii="Tahoma" w:hAnsi="Tahoma" w:cs="Tahoma"/>
          <w:sz w:val="22"/>
          <w:szCs w:val="22"/>
          <w:lang w:val="sr-Cyrl-RS"/>
        </w:rPr>
        <w:t>а н</w:t>
      </w:r>
      <w:r w:rsidRPr="00B42903">
        <w:rPr>
          <w:rFonts w:ascii="Tahoma" w:hAnsi="Tahoma" w:cs="Tahoma"/>
          <w:sz w:val="22"/>
          <w:szCs w:val="22"/>
          <w:lang w:val="sr-Cyrl-RS"/>
        </w:rPr>
        <w:t xml:space="preserve">а нивоу </w:t>
      </w:r>
      <w:r w:rsidR="00D03A8D">
        <w:rPr>
          <w:rFonts w:ascii="Tahoma" w:hAnsi="Tahoma" w:cs="Tahoma"/>
          <w:sz w:val="22"/>
          <w:szCs w:val="22"/>
          <w:lang w:val="sr-Cyrl-RS"/>
        </w:rPr>
        <w:t>ЈЛС</w:t>
      </w:r>
      <w:r w:rsidR="005338F3">
        <w:rPr>
          <w:rFonts w:ascii="Tahoma" w:hAnsi="Tahoma" w:cs="Tahoma"/>
          <w:sz w:val="22"/>
          <w:szCs w:val="22"/>
          <w:lang w:val="sr-Cyrl-RS"/>
        </w:rPr>
        <w:t xml:space="preserve"> </w:t>
      </w:r>
      <w:r w:rsidRPr="00B42903">
        <w:rPr>
          <w:rFonts w:ascii="Tahoma" w:hAnsi="Tahoma" w:cs="Tahoma"/>
          <w:sz w:val="22"/>
          <w:szCs w:val="22"/>
          <w:lang w:val="sr-Cyrl-RS"/>
        </w:rPr>
        <w:t>није одговарајуће да се овакв</w:t>
      </w:r>
      <w:r w:rsidR="006E780A">
        <w:rPr>
          <w:rFonts w:ascii="Tahoma" w:hAnsi="Tahoma" w:cs="Tahoma"/>
          <w:sz w:val="22"/>
          <w:szCs w:val="22"/>
          <w:lang w:val="sr-Cyrl-RS"/>
        </w:rPr>
        <w:t>е појаве</w:t>
      </w:r>
      <w:r w:rsidRPr="00B42903">
        <w:rPr>
          <w:rFonts w:ascii="Tahoma" w:hAnsi="Tahoma" w:cs="Tahoma"/>
          <w:sz w:val="22"/>
          <w:szCs w:val="22"/>
          <w:lang w:val="sr-Cyrl-RS"/>
        </w:rPr>
        <w:t xml:space="preserve"> прате на годишњем нивоу (</w:t>
      </w:r>
      <w:r w:rsidR="00D27EFD">
        <w:rPr>
          <w:rFonts w:ascii="Tahoma" w:hAnsi="Tahoma" w:cs="Tahoma"/>
          <w:sz w:val="22"/>
          <w:szCs w:val="22"/>
          <w:lang w:val="sr-Cyrl-RS"/>
        </w:rPr>
        <w:t>Б</w:t>
      </w:r>
      <w:r w:rsidRPr="00B42903">
        <w:rPr>
          <w:rFonts w:ascii="Tahoma" w:hAnsi="Tahoma" w:cs="Tahoma"/>
          <w:sz w:val="22"/>
          <w:szCs w:val="22"/>
          <w:lang w:val="sr-Cyrl-RS"/>
        </w:rPr>
        <w:t xml:space="preserve">окс </w:t>
      </w:r>
      <w:r w:rsidR="00E07F73">
        <w:rPr>
          <w:rFonts w:ascii="Tahoma" w:hAnsi="Tahoma" w:cs="Tahoma"/>
          <w:sz w:val="22"/>
          <w:szCs w:val="22"/>
          <w:lang w:val="sr-Cyrl-RS"/>
        </w:rPr>
        <w:t>8</w:t>
      </w:r>
      <w:r w:rsidRPr="00B42903">
        <w:rPr>
          <w:rFonts w:ascii="Tahoma" w:hAnsi="Tahoma" w:cs="Tahoma"/>
          <w:sz w:val="22"/>
          <w:szCs w:val="22"/>
          <w:lang w:val="sr-Cyrl-RS"/>
        </w:rPr>
        <w:t xml:space="preserve">). </w:t>
      </w:r>
    </w:p>
    <w:p w14:paraId="642A58E9" w14:textId="47A1DC1A" w:rsidR="008A73B9" w:rsidRPr="008A73B9" w:rsidRDefault="003C3111" w:rsidP="007327A7">
      <w:pPr>
        <w:spacing w:after="160" w:line="259" w:lineRule="auto"/>
        <w:jc w:val="both"/>
        <w:rPr>
          <w:rFonts w:ascii="Tahoma" w:hAnsi="Tahoma" w:cs="Tahoma"/>
          <w:sz w:val="22"/>
          <w:szCs w:val="22"/>
          <w:lang w:val="sr-Cyrl-RS"/>
        </w:rPr>
      </w:pPr>
      <w:r w:rsidRPr="0001364C">
        <w:rPr>
          <w:rFonts w:ascii="Tahoma" w:hAnsi="Tahoma" w:cs="Tahoma"/>
          <w:b/>
          <w:color w:val="2F5496"/>
          <w:sz w:val="22"/>
          <w:szCs w:val="22"/>
          <w:lang w:val="sr-Cyrl-RS"/>
        </w:rPr>
        <w:t>Стопа смртности услед самоубиства</w:t>
      </w:r>
      <w:r w:rsidRPr="00B42903">
        <w:rPr>
          <w:rFonts w:ascii="Tahoma" w:hAnsi="Tahoma" w:cs="Tahoma"/>
          <w:sz w:val="22"/>
          <w:szCs w:val="22"/>
          <w:lang w:val="sr-Cyrl-RS"/>
        </w:rPr>
        <w:t xml:space="preserve"> на 100.000 становника </w:t>
      </w:r>
      <w:r w:rsidRPr="003B21C1">
        <w:rPr>
          <w:rFonts w:ascii="Tahoma" w:hAnsi="Tahoma" w:cs="Tahoma"/>
          <w:color w:val="000000" w:themeColor="text1"/>
          <w:sz w:val="22"/>
          <w:szCs w:val="22"/>
          <w:lang w:val="sr-Cyrl-RS"/>
        </w:rPr>
        <w:t>је</w:t>
      </w:r>
      <w:r w:rsidR="00C17C75" w:rsidRPr="003B21C1">
        <w:rPr>
          <w:rFonts w:ascii="Tahoma" w:hAnsi="Tahoma" w:cs="Tahoma"/>
          <w:color w:val="000000" w:themeColor="text1"/>
          <w:sz w:val="22"/>
          <w:szCs w:val="22"/>
          <w:lang w:val="sr-Cyrl-RS"/>
        </w:rPr>
        <w:t xml:space="preserve"> </w:t>
      </w:r>
      <w:r w:rsidRPr="003B21C1">
        <w:rPr>
          <w:rFonts w:ascii="Tahoma" w:hAnsi="Tahoma" w:cs="Tahoma"/>
          <w:color w:val="000000" w:themeColor="text1"/>
          <w:sz w:val="22"/>
          <w:szCs w:val="22"/>
          <w:lang w:val="sr-Cyrl-RS"/>
        </w:rPr>
        <w:t>20</w:t>
      </w:r>
      <w:r w:rsidR="00D03A8D" w:rsidRPr="003B21C1">
        <w:rPr>
          <w:rFonts w:ascii="Tahoma" w:hAnsi="Tahoma" w:cs="Tahoma"/>
          <w:color w:val="000000" w:themeColor="text1"/>
          <w:sz w:val="22"/>
          <w:szCs w:val="22"/>
          <w:lang w:val="sr-Cyrl-RS"/>
        </w:rPr>
        <w:t>2</w:t>
      </w:r>
      <w:r w:rsidR="005338F3" w:rsidRPr="003B21C1">
        <w:rPr>
          <w:rFonts w:ascii="Tahoma" w:hAnsi="Tahoma" w:cs="Tahoma"/>
          <w:color w:val="000000" w:themeColor="text1"/>
          <w:sz w:val="22"/>
          <w:szCs w:val="22"/>
          <w:lang w:val="sr-Cyrl-RS"/>
        </w:rPr>
        <w:t>0</w:t>
      </w:r>
      <w:r w:rsidRPr="003B21C1">
        <w:rPr>
          <w:rFonts w:ascii="Tahoma" w:hAnsi="Tahoma" w:cs="Tahoma"/>
          <w:color w:val="000000" w:themeColor="text1"/>
          <w:sz w:val="22"/>
          <w:szCs w:val="22"/>
          <w:lang w:val="sr-Cyrl-RS"/>
        </w:rPr>
        <w:t xml:space="preserve">. године </w:t>
      </w:r>
      <w:r w:rsidR="00735FB6">
        <w:rPr>
          <w:rFonts w:ascii="Tahoma" w:hAnsi="Tahoma" w:cs="Tahoma"/>
          <w:sz w:val="22"/>
          <w:szCs w:val="22"/>
          <w:lang w:val="sr-Cyrl-RS"/>
        </w:rPr>
        <w:t xml:space="preserve">у Смедеревској Паланци </w:t>
      </w:r>
      <w:r w:rsidR="005338F3">
        <w:rPr>
          <w:rFonts w:ascii="Tahoma" w:hAnsi="Tahoma" w:cs="Tahoma"/>
          <w:sz w:val="22"/>
          <w:szCs w:val="22"/>
          <w:lang w:val="sr-Cyrl-RS"/>
        </w:rPr>
        <w:t>н</w:t>
      </w:r>
      <w:r w:rsidR="00624F99">
        <w:rPr>
          <w:rFonts w:ascii="Tahoma" w:hAnsi="Tahoma" w:cs="Tahoma"/>
          <w:sz w:val="22"/>
          <w:szCs w:val="22"/>
          <w:lang w:val="sr-Cyrl-RS"/>
        </w:rPr>
        <w:t>ижа</w:t>
      </w:r>
      <w:r w:rsidR="005338F3" w:rsidRPr="00FE3458">
        <w:rPr>
          <w:rFonts w:ascii="Tahoma" w:hAnsi="Tahoma" w:cs="Tahoma"/>
          <w:sz w:val="22"/>
          <w:szCs w:val="22"/>
          <w:lang w:val="sr-Cyrl-RS"/>
        </w:rPr>
        <w:t xml:space="preserve"> </w:t>
      </w:r>
      <w:r w:rsidR="005338F3" w:rsidRPr="00FE3458">
        <w:rPr>
          <w:rFonts w:ascii="Tahoma" w:hAnsi="Tahoma" w:cs="Tahoma"/>
          <w:color w:val="000000" w:themeColor="text1"/>
          <w:sz w:val="22"/>
          <w:szCs w:val="22"/>
          <w:lang w:val="sr-Cyrl-RS"/>
        </w:rPr>
        <w:t>него на подручју Србија-југ</w:t>
      </w:r>
      <w:r w:rsidR="00FE3458" w:rsidRPr="00FE3458">
        <w:rPr>
          <w:rFonts w:ascii="Tahoma" w:hAnsi="Tahoma" w:cs="Tahoma"/>
          <w:color w:val="000000" w:themeColor="text1"/>
          <w:sz w:val="22"/>
          <w:szCs w:val="22"/>
          <w:lang w:val="sr-Cyrl-RS"/>
        </w:rPr>
        <w:t xml:space="preserve"> (Табела 10</w:t>
      </w:r>
      <w:r w:rsidR="00FE3458" w:rsidRPr="00FE3458">
        <w:rPr>
          <w:rFonts w:ascii="Tahoma" w:hAnsi="Tahoma" w:cs="Tahoma"/>
          <w:color w:val="2F5496"/>
          <w:sz w:val="22"/>
          <w:szCs w:val="22"/>
          <w:lang w:val="sr-Cyrl-RS"/>
        </w:rPr>
        <w:t>)</w:t>
      </w:r>
      <w:r w:rsidRPr="00B42903">
        <w:rPr>
          <w:rFonts w:ascii="Tahoma" w:hAnsi="Tahoma" w:cs="Tahoma"/>
          <w:sz w:val="22"/>
          <w:szCs w:val="22"/>
          <w:lang w:val="sr-Cyrl-RS"/>
        </w:rPr>
        <w:t xml:space="preserve">. Током времена ова стопа такође варира, а десетогодишњи просек </w:t>
      </w:r>
      <w:r w:rsidR="008D1A5B">
        <w:rPr>
          <w:rFonts w:ascii="Tahoma" w:hAnsi="Tahoma" w:cs="Tahoma"/>
          <w:sz w:val="22"/>
          <w:szCs w:val="22"/>
          <w:lang w:val="sr-Latn-RS"/>
        </w:rPr>
        <w:t>(</w:t>
      </w:r>
      <w:r w:rsidR="00D13AC3">
        <w:rPr>
          <w:rFonts w:ascii="Tahoma" w:hAnsi="Tahoma" w:cs="Tahoma"/>
          <w:sz w:val="22"/>
          <w:szCs w:val="22"/>
          <w:lang w:val="sr-Cyrl-RS"/>
        </w:rPr>
        <w:t>19,5</w:t>
      </w:r>
      <w:r w:rsidR="008D1A5B">
        <w:rPr>
          <w:rFonts w:ascii="Tahoma" w:hAnsi="Tahoma" w:cs="Tahoma"/>
          <w:sz w:val="22"/>
          <w:szCs w:val="22"/>
          <w:lang w:val="sr-Latn-RS"/>
        </w:rPr>
        <w:t xml:space="preserve">) </w:t>
      </w:r>
      <w:r w:rsidR="008D1A5B">
        <w:rPr>
          <w:rFonts w:ascii="Tahoma" w:hAnsi="Tahoma" w:cs="Tahoma"/>
          <w:sz w:val="22"/>
          <w:szCs w:val="22"/>
          <w:lang w:val="sr-Cyrl-RS"/>
        </w:rPr>
        <w:t xml:space="preserve">је </w:t>
      </w:r>
      <w:r w:rsidR="00D13AC3">
        <w:rPr>
          <w:rFonts w:ascii="Tahoma" w:hAnsi="Tahoma" w:cs="Tahoma"/>
          <w:sz w:val="22"/>
          <w:szCs w:val="22"/>
          <w:lang w:val="sr-Cyrl-RS"/>
        </w:rPr>
        <w:t xml:space="preserve">знатно </w:t>
      </w:r>
      <w:r w:rsidR="00D44E9D">
        <w:rPr>
          <w:rFonts w:ascii="Tahoma" w:hAnsi="Tahoma" w:cs="Tahoma"/>
          <w:sz w:val="22"/>
          <w:szCs w:val="22"/>
          <w:lang w:val="sr-Cyrl-RS"/>
        </w:rPr>
        <w:t xml:space="preserve">изнад </w:t>
      </w:r>
      <w:r w:rsidRPr="00B42903">
        <w:rPr>
          <w:rFonts w:ascii="Tahoma" w:hAnsi="Tahoma" w:cs="Tahoma"/>
          <w:sz w:val="22"/>
          <w:szCs w:val="22"/>
          <w:lang w:val="sr-Cyrl-RS"/>
        </w:rPr>
        <w:t>вредности која је забележена у 20</w:t>
      </w:r>
      <w:r w:rsidR="005338F3">
        <w:rPr>
          <w:rFonts w:ascii="Tahoma" w:hAnsi="Tahoma" w:cs="Tahoma"/>
          <w:sz w:val="22"/>
          <w:szCs w:val="22"/>
          <w:lang w:val="sr-Cyrl-RS"/>
        </w:rPr>
        <w:t>20</w:t>
      </w:r>
      <w:r w:rsidRPr="00B42903">
        <w:rPr>
          <w:rFonts w:ascii="Tahoma" w:hAnsi="Tahoma" w:cs="Tahoma"/>
          <w:sz w:val="22"/>
          <w:szCs w:val="22"/>
          <w:lang w:val="sr-Cyrl-RS"/>
        </w:rPr>
        <w:t>. години</w:t>
      </w:r>
      <w:r w:rsidR="00FE3458">
        <w:rPr>
          <w:rFonts w:ascii="Tahoma" w:hAnsi="Tahoma" w:cs="Tahoma"/>
          <w:sz w:val="22"/>
          <w:szCs w:val="22"/>
          <w:lang w:val="sr-Cyrl-RS"/>
        </w:rPr>
        <w:t xml:space="preserve"> (</w:t>
      </w:r>
      <w:r w:rsidR="0089644A">
        <w:rPr>
          <w:rFonts w:ascii="Tahoma" w:hAnsi="Tahoma" w:cs="Tahoma"/>
          <w:sz w:val="22"/>
          <w:szCs w:val="22"/>
          <w:lang w:val="sr-Cyrl-RS"/>
        </w:rPr>
        <w:t>6,8</w:t>
      </w:r>
      <w:r w:rsidR="00FE3458">
        <w:rPr>
          <w:rFonts w:ascii="Tahoma" w:hAnsi="Tahoma" w:cs="Tahoma"/>
          <w:sz w:val="22"/>
          <w:szCs w:val="22"/>
          <w:lang w:val="sr-Cyrl-RS"/>
        </w:rPr>
        <w:t>),</w:t>
      </w:r>
      <w:r w:rsidR="008D1A5B">
        <w:rPr>
          <w:rFonts w:ascii="Tahoma" w:hAnsi="Tahoma" w:cs="Tahoma"/>
          <w:sz w:val="22"/>
          <w:szCs w:val="22"/>
          <w:lang w:val="sr-Latn-RS"/>
        </w:rPr>
        <w:t xml:space="preserve"> </w:t>
      </w:r>
      <w:r w:rsidR="00FE3458">
        <w:rPr>
          <w:rFonts w:ascii="Tahoma" w:hAnsi="Tahoma" w:cs="Tahoma"/>
          <w:sz w:val="22"/>
          <w:szCs w:val="22"/>
          <w:lang w:val="sr-Cyrl-RS"/>
        </w:rPr>
        <w:t>а</w:t>
      </w:r>
      <w:r w:rsidR="008D1A5B">
        <w:rPr>
          <w:rFonts w:ascii="Tahoma" w:hAnsi="Tahoma" w:cs="Tahoma"/>
          <w:sz w:val="22"/>
          <w:szCs w:val="22"/>
          <w:lang w:val="sr-Cyrl-RS"/>
        </w:rPr>
        <w:t xml:space="preserve"> такође је</w:t>
      </w:r>
      <w:r w:rsidR="005A6A8D">
        <w:rPr>
          <w:rFonts w:ascii="Tahoma" w:hAnsi="Tahoma" w:cs="Tahoma"/>
          <w:sz w:val="22"/>
          <w:szCs w:val="22"/>
          <w:lang w:val="sr-Cyrl-RS"/>
        </w:rPr>
        <w:t xml:space="preserve"> </w:t>
      </w:r>
      <w:r w:rsidR="00FE3458">
        <w:rPr>
          <w:rFonts w:ascii="Tahoma" w:hAnsi="Tahoma" w:cs="Tahoma"/>
          <w:sz w:val="22"/>
          <w:szCs w:val="22"/>
          <w:lang w:val="sr-Cyrl-RS"/>
        </w:rPr>
        <w:t xml:space="preserve">и </w:t>
      </w:r>
      <w:r w:rsidR="008D1A5B">
        <w:rPr>
          <w:rFonts w:ascii="Tahoma" w:hAnsi="Tahoma" w:cs="Tahoma"/>
          <w:sz w:val="22"/>
          <w:szCs w:val="22"/>
          <w:lang w:val="sr-Cyrl-RS"/>
        </w:rPr>
        <w:t xml:space="preserve">изнад </w:t>
      </w:r>
      <w:r w:rsidR="00FE3458">
        <w:rPr>
          <w:rFonts w:ascii="Tahoma" w:hAnsi="Tahoma" w:cs="Tahoma"/>
          <w:sz w:val="22"/>
          <w:szCs w:val="22"/>
          <w:lang w:val="sr-Cyrl-RS"/>
        </w:rPr>
        <w:t xml:space="preserve">десетогодишњег </w:t>
      </w:r>
      <w:r w:rsidR="008D1A5B">
        <w:rPr>
          <w:rFonts w:ascii="Tahoma" w:hAnsi="Tahoma" w:cs="Tahoma"/>
          <w:sz w:val="22"/>
          <w:szCs w:val="22"/>
          <w:lang w:val="sr-Cyrl-RS"/>
        </w:rPr>
        <w:t>просека Србија-југ (1</w:t>
      </w:r>
      <w:r w:rsidR="005A6A8D">
        <w:rPr>
          <w:rFonts w:ascii="Tahoma" w:hAnsi="Tahoma" w:cs="Tahoma"/>
          <w:sz w:val="22"/>
          <w:szCs w:val="22"/>
          <w:lang w:val="sr-Cyrl-RS"/>
        </w:rPr>
        <w:t>4</w:t>
      </w:r>
      <w:r w:rsidR="008D1A5B">
        <w:rPr>
          <w:rFonts w:ascii="Tahoma" w:hAnsi="Tahoma" w:cs="Tahoma"/>
          <w:sz w:val="22"/>
          <w:szCs w:val="22"/>
          <w:lang w:val="sr-Cyrl-RS"/>
        </w:rPr>
        <w:t>,</w:t>
      </w:r>
      <w:r w:rsidR="005A6A8D">
        <w:rPr>
          <w:rFonts w:ascii="Tahoma" w:hAnsi="Tahoma" w:cs="Tahoma"/>
          <w:sz w:val="22"/>
          <w:szCs w:val="22"/>
          <w:lang w:val="sr-Cyrl-RS"/>
        </w:rPr>
        <w:t>9</w:t>
      </w:r>
      <w:r w:rsidR="008D1A5B">
        <w:rPr>
          <w:rFonts w:ascii="Tahoma" w:hAnsi="Tahoma" w:cs="Tahoma"/>
          <w:sz w:val="22"/>
          <w:szCs w:val="22"/>
          <w:lang w:val="sr-Cyrl-RS"/>
        </w:rPr>
        <w:t>)</w:t>
      </w:r>
      <w:r w:rsidRPr="00B42903">
        <w:rPr>
          <w:rFonts w:ascii="Tahoma" w:hAnsi="Tahoma" w:cs="Tahoma"/>
          <w:sz w:val="22"/>
          <w:szCs w:val="22"/>
          <w:lang w:val="sr-Cyrl-RS"/>
        </w:rPr>
        <w:t>.</w:t>
      </w:r>
      <w:r w:rsidR="0001364C">
        <w:rPr>
          <w:rFonts w:ascii="Tahoma" w:hAnsi="Tahoma" w:cs="Tahoma"/>
          <w:sz w:val="22"/>
          <w:szCs w:val="22"/>
          <w:lang w:val="sr-Cyrl-RS"/>
        </w:rPr>
        <w:t xml:space="preserve"> </w:t>
      </w:r>
    </w:p>
    <w:p w14:paraId="38ACBF9D" w14:textId="702892EC" w:rsidR="005A1B51" w:rsidRPr="00476A2F" w:rsidRDefault="005C1C3C" w:rsidP="007327A7">
      <w:pPr>
        <w:spacing w:after="160" w:line="259" w:lineRule="auto"/>
        <w:jc w:val="both"/>
        <w:rPr>
          <w:rFonts w:ascii="Tahoma" w:hAnsi="Tahoma" w:cs="Tahoma"/>
          <w:color w:val="2F5496"/>
          <w:sz w:val="22"/>
          <w:szCs w:val="22"/>
          <w:lang w:val="sr-Cyrl-RS"/>
        </w:rPr>
      </w:pPr>
      <w:r w:rsidRPr="003B5E4C">
        <w:rPr>
          <w:rFonts w:ascii="Tahoma" w:hAnsi="Tahoma" w:cs="Tahoma"/>
          <w:color w:val="2F5496"/>
          <w:sz w:val="22"/>
          <w:szCs w:val="22"/>
          <w:lang w:val="sr-Cyrl-RS"/>
        </w:rPr>
        <w:t>Табела 10. Изабрани индикатори смртности, 20</w:t>
      </w:r>
      <w:r w:rsidR="0063108A">
        <w:rPr>
          <w:rFonts w:ascii="Tahoma" w:hAnsi="Tahoma" w:cs="Tahoma"/>
          <w:color w:val="2F5496"/>
          <w:sz w:val="22"/>
          <w:szCs w:val="22"/>
          <w:lang w:val="sr-Latn-RS"/>
        </w:rPr>
        <w:t>20</w:t>
      </w:r>
      <w:r w:rsidR="00327A71">
        <w:rPr>
          <w:rFonts w:ascii="Tahoma" w:hAnsi="Tahoma" w:cs="Tahoma"/>
          <w:color w:val="2F5496"/>
          <w:sz w:val="22"/>
          <w:szCs w:val="22"/>
          <w:lang w:val="sr-Cyrl-RS"/>
        </w:rPr>
        <w:t xml:space="preserve"> и просек 2010-2020</w:t>
      </w:r>
      <w:r w:rsidRPr="003B5E4C">
        <w:rPr>
          <w:rFonts w:ascii="Tahoma" w:hAnsi="Tahoma" w:cs="Tahoma"/>
          <w:color w:val="2F5496"/>
          <w:sz w:val="22"/>
          <w:szCs w:val="22"/>
          <w:lang w:val="sr-Cyrl-RS"/>
        </w:rPr>
        <w:t xml:space="preserve"> </w:t>
      </w:r>
      <w:r w:rsidR="005A1B51" w:rsidRPr="003B5E4C">
        <w:rPr>
          <w:rFonts w:ascii="Tahoma" w:hAnsi="Tahoma" w:cs="Tahoma"/>
          <w:color w:val="2F5496"/>
          <w:sz w:val="22"/>
          <w:szCs w:val="22"/>
          <w:lang w:val="sr-Cyrl-RS"/>
        </w:rPr>
        <w:t>(‰)</w:t>
      </w:r>
    </w:p>
    <w:tbl>
      <w:tblPr>
        <w:tblStyle w:val="GridTable5Dark-Accent51"/>
        <w:tblpPr w:leftFromText="180" w:rightFromText="180" w:vertAnchor="text" w:horzAnchor="margin" w:tblpX="-10" w:tblpY="4"/>
        <w:tblW w:w="9493" w:type="dxa"/>
        <w:tblLayout w:type="fixed"/>
        <w:tblLook w:val="04A0" w:firstRow="1" w:lastRow="0" w:firstColumn="1" w:lastColumn="0" w:noHBand="0" w:noVBand="1"/>
      </w:tblPr>
      <w:tblGrid>
        <w:gridCol w:w="6232"/>
        <w:gridCol w:w="1683"/>
        <w:gridCol w:w="1578"/>
      </w:tblGrid>
      <w:tr w:rsidR="00B33030" w:rsidRPr="00361404" w14:paraId="5CC7B792" w14:textId="77777777" w:rsidTr="00395D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Borders>
              <w:right w:val="single" w:sz="4" w:space="0" w:color="FFFFFF" w:themeColor="background1"/>
            </w:tcBorders>
            <w:shd w:val="clear" w:color="auto" w:fill="2F5496" w:themeFill="accent1" w:themeFillShade="BF"/>
          </w:tcPr>
          <w:p w14:paraId="769DFAA2" w14:textId="77777777" w:rsidR="00B33030" w:rsidRPr="00361404" w:rsidRDefault="00B33030" w:rsidP="00624B5E">
            <w:pPr>
              <w:spacing w:after="160" w:line="259" w:lineRule="auto"/>
              <w:jc w:val="both"/>
              <w:rPr>
                <w:rFonts w:ascii="Tahoma" w:hAnsi="Tahoma" w:cs="Tahoma"/>
                <w:sz w:val="21"/>
                <w:szCs w:val="21"/>
                <w:lang w:val="sr-Cyrl-RS"/>
              </w:rPr>
            </w:pPr>
          </w:p>
        </w:tc>
        <w:tc>
          <w:tcPr>
            <w:tcW w:w="1683" w:type="dxa"/>
            <w:tcBorders>
              <w:left w:val="single" w:sz="4" w:space="0" w:color="FFFFFF" w:themeColor="background1"/>
              <w:right w:val="single" w:sz="4" w:space="0" w:color="FFFFFF" w:themeColor="background1"/>
            </w:tcBorders>
            <w:shd w:val="clear" w:color="auto" w:fill="2F5496" w:themeFill="accent1" w:themeFillShade="BF"/>
            <w:vAlign w:val="center"/>
          </w:tcPr>
          <w:p w14:paraId="25A51F6D" w14:textId="1CA405BF" w:rsidR="00B33030" w:rsidRPr="00361404" w:rsidRDefault="00395DF2" w:rsidP="00624B5E">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sz w:val="21"/>
                <w:szCs w:val="21"/>
                <w:lang w:val="sr-Cyrl-RS"/>
              </w:rPr>
            </w:pPr>
            <w:r>
              <w:rPr>
                <w:rFonts w:ascii="Tahoma" w:hAnsi="Tahoma" w:cs="Tahoma"/>
                <w:sz w:val="21"/>
                <w:szCs w:val="21"/>
                <w:lang w:val="sr-Cyrl-RS"/>
              </w:rPr>
              <w:t>Смедеревска Паланка</w:t>
            </w:r>
          </w:p>
        </w:tc>
        <w:tc>
          <w:tcPr>
            <w:tcW w:w="1578" w:type="dxa"/>
            <w:tcBorders>
              <w:left w:val="single" w:sz="4" w:space="0" w:color="FFFFFF" w:themeColor="background1"/>
            </w:tcBorders>
            <w:shd w:val="clear" w:color="auto" w:fill="2F5496" w:themeFill="accent1" w:themeFillShade="BF"/>
            <w:vAlign w:val="center"/>
          </w:tcPr>
          <w:p w14:paraId="4AB354C4" w14:textId="77777777" w:rsidR="00B33030" w:rsidRPr="00361404" w:rsidRDefault="00B33030" w:rsidP="00624B5E">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sz w:val="21"/>
                <w:szCs w:val="21"/>
                <w:lang w:val="sr-Cyrl-RS"/>
              </w:rPr>
            </w:pPr>
            <w:r>
              <w:rPr>
                <w:rFonts w:ascii="Tahoma" w:hAnsi="Tahoma" w:cs="Tahoma"/>
                <w:sz w:val="21"/>
                <w:szCs w:val="21"/>
                <w:lang w:val="sr-Cyrl-RS"/>
              </w:rPr>
              <w:t>Србија-југ</w:t>
            </w:r>
          </w:p>
        </w:tc>
      </w:tr>
      <w:tr w:rsidR="00B33030" w:rsidRPr="00361404" w14:paraId="0777A7D2" w14:textId="77777777" w:rsidTr="00395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shd w:val="clear" w:color="auto" w:fill="D9E2F3" w:themeFill="accent1" w:themeFillTint="33"/>
          </w:tcPr>
          <w:p w14:paraId="74DA4A1B" w14:textId="77777777" w:rsidR="00B33030" w:rsidRPr="00B02F97" w:rsidRDefault="00B33030" w:rsidP="00624B5E">
            <w:pPr>
              <w:spacing w:after="160" w:line="259" w:lineRule="auto"/>
              <w:jc w:val="both"/>
              <w:rPr>
                <w:rFonts w:ascii="Tahoma" w:hAnsi="Tahoma" w:cs="Tahoma"/>
                <w:color w:val="1F3864" w:themeColor="accent1" w:themeShade="80"/>
                <w:sz w:val="21"/>
                <w:szCs w:val="21"/>
                <w:lang w:val="sr-Cyrl-RS"/>
              </w:rPr>
            </w:pPr>
            <w:r w:rsidRPr="003B5E4C">
              <w:rPr>
                <w:rFonts w:ascii="Tahoma" w:hAnsi="Tahoma" w:cs="Tahoma"/>
                <w:color w:val="1F3864" w:themeColor="accent1" w:themeShade="80"/>
                <w:sz w:val="21"/>
                <w:szCs w:val="21"/>
                <w:lang w:val="sr-Cyrl-RS"/>
              </w:rPr>
              <w:t>Стопа неонаталне смртности</w:t>
            </w:r>
            <w:r>
              <w:rPr>
                <w:rFonts w:ascii="Tahoma" w:hAnsi="Tahoma" w:cs="Tahoma"/>
                <w:color w:val="1F3864" w:themeColor="accent1" w:themeShade="80"/>
                <w:sz w:val="21"/>
                <w:szCs w:val="21"/>
                <w:lang w:val="sr-Cyrl-RS"/>
              </w:rPr>
              <w:t>,</w:t>
            </w:r>
            <w:r w:rsidRPr="003B5E4C">
              <w:rPr>
                <w:rFonts w:ascii="Tahoma" w:hAnsi="Tahoma" w:cs="Tahoma"/>
                <w:color w:val="1F3864" w:themeColor="accent1" w:themeShade="80"/>
                <w:sz w:val="21"/>
                <w:szCs w:val="21"/>
                <w:lang w:val="sr-Cyrl-RS"/>
              </w:rPr>
              <w:t xml:space="preserve"> </w:t>
            </w:r>
            <w:r>
              <w:rPr>
                <w:rFonts w:ascii="Tahoma" w:hAnsi="Tahoma" w:cs="Tahoma"/>
                <w:color w:val="1F3864" w:themeColor="accent1" w:themeShade="80"/>
                <w:sz w:val="21"/>
                <w:szCs w:val="21"/>
              </w:rPr>
              <w:t>2020</w:t>
            </w:r>
            <w:r w:rsidRPr="003B5E4C">
              <w:rPr>
                <w:rFonts w:ascii="Tahoma" w:hAnsi="Tahoma" w:cs="Tahoma"/>
                <w:color w:val="1F3864" w:themeColor="accent1" w:themeShade="80"/>
                <w:sz w:val="21"/>
                <w:szCs w:val="21"/>
                <w:lang w:val="sr-Cyrl-RS"/>
              </w:rPr>
              <w:t>. (‰)</w:t>
            </w:r>
          </w:p>
        </w:tc>
        <w:tc>
          <w:tcPr>
            <w:tcW w:w="1683" w:type="dxa"/>
            <w:shd w:val="clear" w:color="auto" w:fill="D9E2F3" w:themeFill="accent1" w:themeFillTint="33"/>
          </w:tcPr>
          <w:p w14:paraId="7559E77D" w14:textId="37DB2847" w:rsidR="00B33030" w:rsidRPr="00587AB6" w:rsidRDefault="00587AB6" w:rsidP="000E0B2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lang w:val="sr-Cyrl-RS"/>
              </w:rPr>
            </w:pPr>
            <w:r>
              <w:rPr>
                <w:rFonts w:ascii="Tahoma" w:hAnsi="Tahoma" w:cs="Tahoma"/>
                <w:sz w:val="21"/>
                <w:szCs w:val="21"/>
                <w:lang w:val="sr-Cyrl-RS"/>
              </w:rPr>
              <w:t>0,0</w:t>
            </w:r>
          </w:p>
        </w:tc>
        <w:tc>
          <w:tcPr>
            <w:tcW w:w="1578" w:type="dxa"/>
            <w:shd w:val="clear" w:color="auto" w:fill="D9E2F3" w:themeFill="accent1" w:themeFillTint="33"/>
          </w:tcPr>
          <w:p w14:paraId="1512A604" w14:textId="77777777" w:rsidR="00B33030" w:rsidRPr="00476A2F" w:rsidRDefault="00B33030" w:rsidP="000E0B2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lang w:val="sr-Cyrl-RS"/>
              </w:rPr>
            </w:pPr>
            <w:r>
              <w:rPr>
                <w:rFonts w:ascii="Tahoma" w:hAnsi="Tahoma" w:cs="Tahoma"/>
                <w:sz w:val="21"/>
                <w:szCs w:val="21"/>
              </w:rPr>
              <w:t>4,9</w:t>
            </w:r>
          </w:p>
        </w:tc>
      </w:tr>
      <w:tr w:rsidR="00B33030" w:rsidRPr="00361404" w14:paraId="71204078" w14:textId="77777777" w:rsidTr="00395DF2">
        <w:tc>
          <w:tcPr>
            <w:cnfStyle w:val="001000000000" w:firstRow="0" w:lastRow="0" w:firstColumn="1" w:lastColumn="0" w:oddVBand="0" w:evenVBand="0" w:oddHBand="0" w:evenHBand="0" w:firstRowFirstColumn="0" w:firstRowLastColumn="0" w:lastRowFirstColumn="0" w:lastRowLastColumn="0"/>
            <w:tcW w:w="6232" w:type="dxa"/>
            <w:shd w:val="clear" w:color="auto" w:fill="B4C6E7" w:themeFill="accent1" w:themeFillTint="66"/>
          </w:tcPr>
          <w:p w14:paraId="146DD7E4" w14:textId="77777777" w:rsidR="00B33030" w:rsidRPr="00B02F97" w:rsidRDefault="00B33030" w:rsidP="00624B5E">
            <w:pPr>
              <w:spacing w:after="160" w:line="259" w:lineRule="auto"/>
              <w:jc w:val="both"/>
              <w:rPr>
                <w:rFonts w:ascii="Tahoma" w:hAnsi="Tahoma" w:cs="Tahoma"/>
                <w:color w:val="1F3864" w:themeColor="accent1" w:themeShade="80"/>
                <w:sz w:val="21"/>
                <w:szCs w:val="21"/>
                <w:lang w:val="sr-Cyrl-RS"/>
              </w:rPr>
            </w:pPr>
            <w:r w:rsidRPr="003B5E4C">
              <w:rPr>
                <w:rFonts w:ascii="Tahoma" w:hAnsi="Tahoma" w:cs="Tahoma"/>
                <w:color w:val="1F3864" w:themeColor="accent1" w:themeShade="80"/>
                <w:sz w:val="21"/>
                <w:szCs w:val="21"/>
                <w:lang w:val="sr-Cyrl-RS"/>
              </w:rPr>
              <w:t>Стопа неонаталне смртности, просек 2010-20</w:t>
            </w:r>
            <w:r>
              <w:rPr>
                <w:rFonts w:ascii="Tahoma" w:hAnsi="Tahoma" w:cs="Tahoma"/>
                <w:color w:val="1F3864" w:themeColor="accent1" w:themeShade="80"/>
                <w:sz w:val="21"/>
                <w:szCs w:val="21"/>
              </w:rPr>
              <w:t>20</w:t>
            </w:r>
            <w:r w:rsidRPr="003B5E4C">
              <w:rPr>
                <w:rFonts w:ascii="Tahoma" w:hAnsi="Tahoma" w:cs="Tahoma"/>
                <w:color w:val="1F3864" w:themeColor="accent1" w:themeShade="80"/>
                <w:sz w:val="21"/>
                <w:szCs w:val="21"/>
                <w:lang w:val="sr-Cyrl-RS"/>
              </w:rPr>
              <w:t>. (‰)</w:t>
            </w:r>
          </w:p>
        </w:tc>
        <w:tc>
          <w:tcPr>
            <w:tcW w:w="1683" w:type="dxa"/>
            <w:shd w:val="clear" w:color="auto" w:fill="B4C6E7" w:themeFill="accent1" w:themeFillTint="66"/>
          </w:tcPr>
          <w:p w14:paraId="55000CEF" w14:textId="6F709FC9" w:rsidR="00B33030" w:rsidRPr="00476A2F" w:rsidRDefault="00587AB6" w:rsidP="000E0B2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lang w:val="sr-Cyrl-RS"/>
              </w:rPr>
            </w:pPr>
            <w:r>
              <w:rPr>
                <w:rFonts w:ascii="Tahoma" w:hAnsi="Tahoma" w:cs="Tahoma"/>
                <w:sz w:val="21"/>
                <w:szCs w:val="21"/>
                <w:lang w:val="sr-Cyrl-RS"/>
              </w:rPr>
              <w:t>4,2</w:t>
            </w:r>
          </w:p>
        </w:tc>
        <w:tc>
          <w:tcPr>
            <w:tcW w:w="1578" w:type="dxa"/>
            <w:shd w:val="clear" w:color="auto" w:fill="B4C6E7" w:themeFill="accent1" w:themeFillTint="66"/>
          </w:tcPr>
          <w:p w14:paraId="7DFD151F" w14:textId="77777777" w:rsidR="00B33030" w:rsidRPr="000D4A8D" w:rsidRDefault="00B33030" w:rsidP="000E0B2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rPr>
            </w:pPr>
            <w:r>
              <w:rPr>
                <w:rFonts w:ascii="Tahoma" w:hAnsi="Tahoma" w:cs="Tahoma"/>
                <w:sz w:val="21"/>
                <w:szCs w:val="21"/>
              </w:rPr>
              <w:t>4,9</w:t>
            </w:r>
          </w:p>
        </w:tc>
      </w:tr>
      <w:tr w:rsidR="00B33030" w:rsidRPr="00361404" w14:paraId="09BA0360" w14:textId="77777777" w:rsidTr="00395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shd w:val="clear" w:color="auto" w:fill="D9E2F3" w:themeFill="accent1" w:themeFillTint="33"/>
          </w:tcPr>
          <w:p w14:paraId="7D561F52" w14:textId="77777777" w:rsidR="00B33030" w:rsidRPr="00675EF5" w:rsidRDefault="00B33030" w:rsidP="00624B5E">
            <w:pPr>
              <w:spacing w:after="160" w:line="259" w:lineRule="auto"/>
              <w:jc w:val="both"/>
              <w:rPr>
                <w:rFonts w:ascii="Tahoma" w:hAnsi="Tahoma" w:cs="Tahoma"/>
                <w:color w:val="1F3864" w:themeColor="accent1" w:themeShade="80"/>
                <w:sz w:val="21"/>
                <w:szCs w:val="21"/>
                <w:lang w:val="sr-Cyrl-RS"/>
              </w:rPr>
            </w:pPr>
            <w:r w:rsidRPr="003B5E4C">
              <w:rPr>
                <w:rFonts w:ascii="Tahoma" w:hAnsi="Tahoma" w:cs="Tahoma"/>
                <w:color w:val="1F3864" w:themeColor="accent1" w:themeShade="80"/>
                <w:sz w:val="21"/>
                <w:szCs w:val="21"/>
                <w:lang w:val="sr-Cyrl-RS"/>
              </w:rPr>
              <w:t>Стопа смртности одојчади</w:t>
            </w:r>
            <w:r>
              <w:rPr>
                <w:rFonts w:ascii="Tahoma" w:hAnsi="Tahoma" w:cs="Tahoma"/>
                <w:color w:val="1F3864" w:themeColor="accent1" w:themeShade="80"/>
                <w:sz w:val="21"/>
                <w:szCs w:val="21"/>
                <w:lang w:val="sr-Cyrl-RS"/>
              </w:rPr>
              <w:t>,</w:t>
            </w:r>
            <w:r w:rsidRPr="003B5E4C">
              <w:rPr>
                <w:rFonts w:ascii="Tahoma" w:hAnsi="Tahoma" w:cs="Tahoma"/>
                <w:color w:val="1F3864" w:themeColor="accent1" w:themeShade="80"/>
                <w:sz w:val="21"/>
                <w:szCs w:val="21"/>
                <w:lang w:val="sr-Cyrl-RS"/>
              </w:rPr>
              <w:t xml:space="preserve"> 20</w:t>
            </w:r>
            <w:r>
              <w:rPr>
                <w:rFonts w:ascii="Tahoma" w:hAnsi="Tahoma" w:cs="Tahoma"/>
                <w:color w:val="1F3864" w:themeColor="accent1" w:themeShade="80"/>
                <w:sz w:val="21"/>
                <w:szCs w:val="21"/>
              </w:rPr>
              <w:t>20</w:t>
            </w:r>
            <w:r w:rsidRPr="003B5E4C">
              <w:rPr>
                <w:rFonts w:ascii="Tahoma" w:hAnsi="Tahoma" w:cs="Tahoma"/>
                <w:color w:val="1F3864" w:themeColor="accent1" w:themeShade="80"/>
                <w:sz w:val="21"/>
                <w:szCs w:val="21"/>
                <w:lang w:val="sr-Cyrl-RS"/>
              </w:rPr>
              <w:t>. (‰)</w:t>
            </w:r>
          </w:p>
        </w:tc>
        <w:tc>
          <w:tcPr>
            <w:tcW w:w="1683" w:type="dxa"/>
            <w:shd w:val="clear" w:color="auto" w:fill="D9E2F3" w:themeFill="accent1" w:themeFillTint="33"/>
          </w:tcPr>
          <w:p w14:paraId="6BFC83FF" w14:textId="2D7ED160" w:rsidR="00B33030" w:rsidRPr="00183B08" w:rsidRDefault="00587AB6" w:rsidP="000E0B2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lang w:val="sr-Cyrl-RS"/>
              </w:rPr>
            </w:pPr>
            <w:r>
              <w:rPr>
                <w:rFonts w:ascii="Tahoma" w:hAnsi="Tahoma" w:cs="Tahoma"/>
                <w:sz w:val="21"/>
                <w:szCs w:val="21"/>
                <w:lang w:val="sr-Cyrl-RS"/>
              </w:rPr>
              <w:t>3,8</w:t>
            </w:r>
          </w:p>
        </w:tc>
        <w:tc>
          <w:tcPr>
            <w:tcW w:w="1578" w:type="dxa"/>
            <w:shd w:val="clear" w:color="auto" w:fill="D9E2F3" w:themeFill="accent1" w:themeFillTint="33"/>
          </w:tcPr>
          <w:p w14:paraId="5160CD8A" w14:textId="77777777" w:rsidR="00B33030" w:rsidRPr="00476A2F" w:rsidRDefault="00B33030" w:rsidP="000E0B2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rPr>
            </w:pPr>
            <w:r>
              <w:rPr>
                <w:rFonts w:ascii="Tahoma" w:hAnsi="Tahoma" w:cs="Tahoma"/>
                <w:sz w:val="21"/>
                <w:szCs w:val="21"/>
              </w:rPr>
              <w:t>6,4</w:t>
            </w:r>
          </w:p>
        </w:tc>
      </w:tr>
      <w:tr w:rsidR="00B33030" w:rsidRPr="00361404" w14:paraId="2F4E34CB" w14:textId="77777777" w:rsidTr="00395DF2">
        <w:tc>
          <w:tcPr>
            <w:cnfStyle w:val="001000000000" w:firstRow="0" w:lastRow="0" w:firstColumn="1" w:lastColumn="0" w:oddVBand="0" w:evenVBand="0" w:oddHBand="0" w:evenHBand="0" w:firstRowFirstColumn="0" w:firstRowLastColumn="0" w:lastRowFirstColumn="0" w:lastRowLastColumn="0"/>
            <w:tcW w:w="6232" w:type="dxa"/>
            <w:shd w:val="clear" w:color="auto" w:fill="B4C6E7" w:themeFill="accent1" w:themeFillTint="66"/>
          </w:tcPr>
          <w:p w14:paraId="40201DFE" w14:textId="77777777" w:rsidR="00B33030" w:rsidRPr="00675EF5" w:rsidRDefault="00B33030" w:rsidP="00624B5E">
            <w:pPr>
              <w:spacing w:after="160" w:line="259" w:lineRule="auto"/>
              <w:jc w:val="both"/>
              <w:rPr>
                <w:rFonts w:ascii="Tahoma" w:hAnsi="Tahoma" w:cs="Tahoma"/>
                <w:color w:val="1F3864" w:themeColor="accent1" w:themeShade="80"/>
                <w:sz w:val="21"/>
                <w:szCs w:val="21"/>
                <w:lang w:val="sr-Cyrl-RS"/>
              </w:rPr>
            </w:pPr>
            <w:r w:rsidRPr="003B5E4C">
              <w:rPr>
                <w:rFonts w:ascii="Tahoma" w:hAnsi="Tahoma" w:cs="Tahoma"/>
                <w:color w:val="1F3864" w:themeColor="accent1" w:themeShade="80"/>
                <w:sz w:val="21"/>
                <w:szCs w:val="21"/>
                <w:lang w:val="sr-Cyrl-RS"/>
              </w:rPr>
              <w:t>Стопа смртности одојчади, просек 2010-20</w:t>
            </w:r>
            <w:r>
              <w:rPr>
                <w:rFonts w:ascii="Tahoma" w:hAnsi="Tahoma" w:cs="Tahoma"/>
                <w:color w:val="1F3864" w:themeColor="accent1" w:themeShade="80"/>
                <w:sz w:val="21"/>
                <w:szCs w:val="21"/>
              </w:rPr>
              <w:t>20</w:t>
            </w:r>
            <w:r w:rsidRPr="003B5E4C">
              <w:rPr>
                <w:rFonts w:ascii="Tahoma" w:hAnsi="Tahoma" w:cs="Tahoma"/>
                <w:color w:val="1F3864" w:themeColor="accent1" w:themeShade="80"/>
                <w:sz w:val="21"/>
                <w:szCs w:val="21"/>
                <w:lang w:val="sr-Cyrl-RS"/>
              </w:rPr>
              <w:t>. (‰)</w:t>
            </w:r>
          </w:p>
        </w:tc>
        <w:tc>
          <w:tcPr>
            <w:tcW w:w="1683" w:type="dxa"/>
            <w:shd w:val="clear" w:color="auto" w:fill="B4C6E7" w:themeFill="accent1" w:themeFillTint="66"/>
          </w:tcPr>
          <w:p w14:paraId="2B2B61E1" w14:textId="2291FFE5" w:rsidR="00B33030" w:rsidRPr="00183B08" w:rsidRDefault="00587AB6" w:rsidP="000E0B2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lang w:val="sr-Cyrl-RS"/>
              </w:rPr>
            </w:pPr>
            <w:r>
              <w:rPr>
                <w:rFonts w:ascii="Tahoma" w:hAnsi="Tahoma" w:cs="Tahoma"/>
                <w:sz w:val="21"/>
                <w:szCs w:val="21"/>
                <w:lang w:val="sr-Cyrl-RS"/>
              </w:rPr>
              <w:t>6,5</w:t>
            </w:r>
          </w:p>
        </w:tc>
        <w:tc>
          <w:tcPr>
            <w:tcW w:w="1578" w:type="dxa"/>
            <w:shd w:val="clear" w:color="auto" w:fill="B4C6E7" w:themeFill="accent1" w:themeFillTint="66"/>
          </w:tcPr>
          <w:p w14:paraId="3A56CEF4" w14:textId="77777777" w:rsidR="00B33030" w:rsidRPr="00476A2F" w:rsidRDefault="00B33030" w:rsidP="000E0B2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rPr>
            </w:pPr>
            <w:r>
              <w:rPr>
                <w:rFonts w:ascii="Tahoma" w:hAnsi="Tahoma" w:cs="Tahoma"/>
                <w:sz w:val="21"/>
                <w:szCs w:val="21"/>
              </w:rPr>
              <w:t>6,5</w:t>
            </w:r>
          </w:p>
        </w:tc>
      </w:tr>
      <w:tr w:rsidR="00B33030" w:rsidRPr="00361404" w14:paraId="0605328E" w14:textId="77777777" w:rsidTr="00395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shd w:val="clear" w:color="auto" w:fill="B4C6E7" w:themeFill="accent1" w:themeFillTint="66"/>
          </w:tcPr>
          <w:p w14:paraId="664C1487" w14:textId="77777777" w:rsidR="00B33030" w:rsidRPr="0063108A" w:rsidRDefault="00B33030" w:rsidP="00624B5E">
            <w:pPr>
              <w:spacing w:after="160" w:line="259" w:lineRule="auto"/>
              <w:jc w:val="both"/>
              <w:rPr>
                <w:rFonts w:ascii="Tahoma" w:hAnsi="Tahoma" w:cs="Tahoma"/>
                <w:color w:val="1F3864" w:themeColor="accent1" w:themeShade="80"/>
                <w:sz w:val="21"/>
                <w:szCs w:val="21"/>
              </w:rPr>
            </w:pPr>
            <w:r w:rsidRPr="00476A2F">
              <w:rPr>
                <w:rFonts w:ascii="Tahoma" w:hAnsi="Tahoma" w:cs="Tahoma"/>
                <w:color w:val="1F3864" w:themeColor="accent1" w:themeShade="80"/>
                <w:sz w:val="21"/>
                <w:szCs w:val="21"/>
                <w:lang w:val="sr-Cyrl-RS"/>
              </w:rPr>
              <w:t xml:space="preserve">Стопа смртности услед самоубиства </w:t>
            </w:r>
            <w:r>
              <w:rPr>
                <w:rFonts w:ascii="Tahoma" w:hAnsi="Tahoma" w:cs="Tahoma"/>
                <w:color w:val="1F3864" w:themeColor="accent1" w:themeShade="80"/>
                <w:sz w:val="21"/>
                <w:szCs w:val="21"/>
                <w:lang w:val="sr-Cyrl-RS"/>
              </w:rPr>
              <w:t>на</w:t>
            </w:r>
            <w:r w:rsidRPr="00476A2F">
              <w:rPr>
                <w:rFonts w:ascii="Tahoma" w:hAnsi="Tahoma" w:cs="Tahoma"/>
                <w:color w:val="1F3864" w:themeColor="accent1" w:themeShade="80"/>
                <w:sz w:val="21"/>
                <w:szCs w:val="21"/>
                <w:lang w:val="sr-Cyrl-RS"/>
              </w:rPr>
              <w:t xml:space="preserve"> 100.000 становника, 20</w:t>
            </w:r>
            <w:r>
              <w:rPr>
                <w:rFonts w:ascii="Tahoma" w:hAnsi="Tahoma" w:cs="Tahoma"/>
                <w:color w:val="1F3864" w:themeColor="accent1" w:themeShade="80"/>
                <w:sz w:val="21"/>
                <w:szCs w:val="21"/>
              </w:rPr>
              <w:t>20.</w:t>
            </w:r>
          </w:p>
        </w:tc>
        <w:tc>
          <w:tcPr>
            <w:tcW w:w="1683" w:type="dxa"/>
            <w:shd w:val="clear" w:color="auto" w:fill="B4C6E7" w:themeFill="accent1" w:themeFillTint="66"/>
          </w:tcPr>
          <w:p w14:paraId="0FBC7582" w14:textId="0DE0A0D1" w:rsidR="00B33030" w:rsidRPr="00587AB6" w:rsidRDefault="00587AB6" w:rsidP="00F5366F">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lang w:val="sr-Cyrl-RS"/>
              </w:rPr>
            </w:pPr>
            <w:r>
              <w:rPr>
                <w:rFonts w:ascii="Tahoma" w:hAnsi="Tahoma" w:cs="Tahoma"/>
                <w:sz w:val="21"/>
                <w:szCs w:val="21"/>
                <w:lang w:val="sr-Cyrl-RS"/>
              </w:rPr>
              <w:t>6,8</w:t>
            </w:r>
          </w:p>
        </w:tc>
        <w:tc>
          <w:tcPr>
            <w:tcW w:w="1578" w:type="dxa"/>
            <w:shd w:val="clear" w:color="auto" w:fill="B4C6E7" w:themeFill="accent1" w:themeFillTint="66"/>
          </w:tcPr>
          <w:p w14:paraId="4BF4B65F" w14:textId="77777777" w:rsidR="00B33030" w:rsidRPr="00476A2F" w:rsidRDefault="00B33030" w:rsidP="00F5366F">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rPr>
            </w:pPr>
            <w:r w:rsidRPr="00476A2F">
              <w:rPr>
                <w:rFonts w:ascii="Tahoma" w:hAnsi="Tahoma" w:cs="Tahoma"/>
                <w:sz w:val="21"/>
                <w:szCs w:val="21"/>
              </w:rPr>
              <w:t>13,</w:t>
            </w:r>
            <w:r>
              <w:rPr>
                <w:rFonts w:ascii="Tahoma" w:hAnsi="Tahoma" w:cs="Tahoma"/>
                <w:sz w:val="21"/>
                <w:szCs w:val="21"/>
              </w:rPr>
              <w:t>1</w:t>
            </w:r>
          </w:p>
        </w:tc>
      </w:tr>
    </w:tbl>
    <w:p w14:paraId="5D9EDAE2" w14:textId="2785BC25" w:rsidR="00076FAD" w:rsidRDefault="00476A2F" w:rsidP="007327A7">
      <w:pPr>
        <w:spacing w:after="160" w:line="259" w:lineRule="auto"/>
        <w:jc w:val="both"/>
        <w:rPr>
          <w:rFonts w:ascii="Tahoma" w:hAnsi="Tahoma" w:cs="Tahoma"/>
          <w:sz w:val="18"/>
          <w:szCs w:val="18"/>
          <w:lang w:val="sr-Cyrl-RS"/>
        </w:rPr>
      </w:pPr>
      <w:r w:rsidRPr="007B3070">
        <w:rPr>
          <w:rFonts w:ascii="Tahoma" w:hAnsi="Tahoma" w:cs="Tahoma"/>
          <w:sz w:val="18"/>
          <w:szCs w:val="18"/>
          <w:lang w:val="sr-Cyrl-RS"/>
        </w:rPr>
        <w:t>Извор: ДевИнфо база</w:t>
      </w:r>
      <w:r w:rsidRPr="007B3070">
        <w:rPr>
          <w:rFonts w:ascii="Tahoma" w:hAnsi="Tahoma" w:cs="Tahoma"/>
          <w:sz w:val="18"/>
          <w:szCs w:val="18"/>
        </w:rPr>
        <w:t>,</w:t>
      </w:r>
      <w:r w:rsidRPr="007B3070">
        <w:rPr>
          <w:rFonts w:ascii="Tahoma" w:hAnsi="Tahoma" w:cs="Tahoma"/>
          <w:sz w:val="18"/>
          <w:szCs w:val="18"/>
          <w:lang w:val="sr-Cyrl-RS"/>
        </w:rPr>
        <w:t xml:space="preserve"> Републички завод за статистику.</w:t>
      </w:r>
    </w:p>
    <w:p w14:paraId="508FA418" w14:textId="77777777" w:rsidR="008A73B9" w:rsidRPr="00D13AC3" w:rsidRDefault="008A73B9" w:rsidP="007327A7">
      <w:pPr>
        <w:spacing w:after="160" w:line="259" w:lineRule="auto"/>
        <w:jc w:val="both"/>
        <w:rPr>
          <w:rFonts w:ascii="Tahoma" w:hAnsi="Tahoma" w:cs="Tahoma"/>
          <w:sz w:val="18"/>
          <w:szCs w:val="18"/>
          <w:lang w:val="sr-Cyrl-RS"/>
        </w:rPr>
      </w:pPr>
    </w:p>
    <w:p w14:paraId="2B8DEE14" w14:textId="478874C4" w:rsidR="001170BE" w:rsidRPr="0001364C" w:rsidRDefault="001170BE" w:rsidP="007327A7">
      <w:pPr>
        <w:shd w:val="clear" w:color="auto" w:fill="D9E2F3" w:themeFill="accent1" w:themeFillTint="33"/>
        <w:spacing w:after="160" w:line="259" w:lineRule="auto"/>
        <w:jc w:val="both"/>
        <w:rPr>
          <w:rFonts w:ascii="Tahoma" w:hAnsi="Tahoma" w:cs="Tahoma"/>
          <w:b/>
          <w:color w:val="1F3864" w:themeColor="accent1" w:themeShade="80"/>
          <w:sz w:val="22"/>
          <w:szCs w:val="22"/>
          <w:lang w:val="sr-Cyrl-RS"/>
        </w:rPr>
      </w:pPr>
      <w:r w:rsidRPr="0001364C">
        <w:rPr>
          <w:rFonts w:ascii="Tahoma" w:hAnsi="Tahoma" w:cs="Tahoma"/>
          <w:b/>
          <w:color w:val="1F3864" w:themeColor="accent1" w:themeShade="80"/>
          <w:sz w:val="22"/>
          <w:szCs w:val="22"/>
          <w:lang w:val="sr-Cyrl-RS"/>
        </w:rPr>
        <w:t>Б</w:t>
      </w:r>
      <w:r w:rsidR="0001364C" w:rsidRPr="0001364C">
        <w:rPr>
          <w:rFonts w:ascii="Tahoma" w:hAnsi="Tahoma" w:cs="Tahoma"/>
          <w:b/>
          <w:color w:val="1F3864" w:themeColor="accent1" w:themeShade="80"/>
          <w:sz w:val="22"/>
          <w:szCs w:val="22"/>
          <w:lang w:val="sr-Cyrl-RS"/>
        </w:rPr>
        <w:t xml:space="preserve">окс </w:t>
      </w:r>
      <w:r w:rsidR="00E07F73">
        <w:rPr>
          <w:rFonts w:ascii="Tahoma" w:hAnsi="Tahoma" w:cs="Tahoma"/>
          <w:b/>
          <w:color w:val="1F3864" w:themeColor="accent1" w:themeShade="80"/>
          <w:sz w:val="22"/>
          <w:szCs w:val="22"/>
          <w:lang w:val="sr-Cyrl-RS"/>
        </w:rPr>
        <w:t>8</w:t>
      </w:r>
      <w:r w:rsidRPr="0001364C">
        <w:rPr>
          <w:rFonts w:ascii="Tahoma" w:hAnsi="Tahoma" w:cs="Tahoma"/>
          <w:b/>
          <w:color w:val="1F3864" w:themeColor="accent1" w:themeShade="80"/>
          <w:sz w:val="22"/>
          <w:szCs w:val="22"/>
          <w:lang w:val="sr-Cyrl-RS"/>
        </w:rPr>
        <w:t>. Н</w:t>
      </w:r>
      <w:r w:rsidR="0001364C" w:rsidRPr="0001364C">
        <w:rPr>
          <w:rFonts w:ascii="Tahoma" w:hAnsi="Tahoma" w:cs="Tahoma"/>
          <w:b/>
          <w:color w:val="1F3864" w:themeColor="accent1" w:themeShade="80"/>
          <w:sz w:val="22"/>
          <w:szCs w:val="22"/>
          <w:lang w:val="sr-Cyrl-RS"/>
        </w:rPr>
        <w:t>едостатак анализе смртности деце у једној години на локалном нивоу</w:t>
      </w:r>
    </w:p>
    <w:p w14:paraId="0ECAE842" w14:textId="2B14B7CB" w:rsidR="001170BE" w:rsidRDefault="001170BE" w:rsidP="007327A7">
      <w:pPr>
        <w:shd w:val="clear" w:color="auto" w:fill="D9E2F3" w:themeFill="accent1" w:themeFillTint="33"/>
        <w:spacing w:after="160" w:line="259" w:lineRule="auto"/>
        <w:jc w:val="both"/>
        <w:rPr>
          <w:rFonts w:ascii="Tahoma" w:hAnsi="Tahoma" w:cs="Tahoma"/>
          <w:sz w:val="22"/>
          <w:szCs w:val="22"/>
          <w:lang w:val="sr-Cyrl-RS"/>
        </w:rPr>
      </w:pPr>
      <w:r w:rsidRPr="0001364C">
        <w:rPr>
          <w:rFonts w:ascii="Tahoma" w:hAnsi="Tahoma" w:cs="Tahoma"/>
          <w:sz w:val="22"/>
          <w:szCs w:val="22"/>
          <w:lang w:val="sr-Cyrl-RS"/>
        </w:rPr>
        <w:t>У условима када су апсолутни бројеви мали, а појаве ретке, дефинисање индикатора на годишњем нивоу може да буде заваравајуће. У случају да једно одојче умре, ако је укупно 100 живорођених, стопа изражена у ‰ је 10. У претходној или наредној години, уколико не умре ни једно одојче стопа је нула. Вишегодишњи просек је свакако бољи индикатор.</w:t>
      </w:r>
    </w:p>
    <w:p w14:paraId="54DBB56B" w14:textId="77777777" w:rsidR="0001364C" w:rsidRPr="0001364C" w:rsidRDefault="0001364C" w:rsidP="007327A7">
      <w:pPr>
        <w:shd w:val="clear" w:color="auto" w:fill="D9E2F3" w:themeFill="accent1" w:themeFillTint="33"/>
        <w:spacing w:after="160" w:line="259" w:lineRule="auto"/>
        <w:jc w:val="both"/>
        <w:rPr>
          <w:rFonts w:ascii="Tahoma" w:hAnsi="Tahoma" w:cs="Tahoma"/>
          <w:sz w:val="10"/>
          <w:szCs w:val="10"/>
          <w:lang w:val="sr-Cyrl-RS"/>
        </w:rPr>
      </w:pPr>
    </w:p>
    <w:p w14:paraId="08D819A7" w14:textId="77777777" w:rsidR="008A73B9" w:rsidRDefault="008A73B9" w:rsidP="007327A7">
      <w:pPr>
        <w:spacing w:after="160" w:line="259" w:lineRule="auto"/>
        <w:jc w:val="both"/>
        <w:rPr>
          <w:rFonts w:ascii="Tahoma" w:hAnsi="Tahoma" w:cs="Tahoma"/>
          <w:bCs/>
          <w:color w:val="2F5496"/>
          <w:sz w:val="22"/>
          <w:szCs w:val="22"/>
          <w:lang w:val="sr-Cyrl-RS"/>
        </w:rPr>
      </w:pPr>
    </w:p>
    <w:p w14:paraId="3463F189" w14:textId="77777777" w:rsidR="008A73B9" w:rsidRDefault="008A73B9" w:rsidP="007327A7">
      <w:pPr>
        <w:spacing w:after="160" w:line="259" w:lineRule="auto"/>
        <w:jc w:val="both"/>
        <w:rPr>
          <w:rFonts w:ascii="Tahoma" w:hAnsi="Tahoma" w:cs="Tahoma"/>
          <w:bCs/>
          <w:color w:val="2F5496"/>
          <w:sz w:val="22"/>
          <w:szCs w:val="22"/>
          <w:lang w:val="sr-Cyrl-RS"/>
        </w:rPr>
      </w:pPr>
    </w:p>
    <w:p w14:paraId="2609BD18" w14:textId="77777777" w:rsidR="008A73B9" w:rsidRDefault="008A73B9" w:rsidP="007327A7">
      <w:pPr>
        <w:spacing w:after="160" w:line="259" w:lineRule="auto"/>
        <w:jc w:val="both"/>
        <w:rPr>
          <w:rFonts w:ascii="Tahoma" w:hAnsi="Tahoma" w:cs="Tahoma"/>
          <w:bCs/>
          <w:color w:val="2F5496"/>
          <w:sz w:val="22"/>
          <w:szCs w:val="22"/>
          <w:lang w:val="sr-Cyrl-RS"/>
        </w:rPr>
      </w:pPr>
    </w:p>
    <w:p w14:paraId="702AE628" w14:textId="77777777" w:rsidR="008A73B9" w:rsidRDefault="008A73B9" w:rsidP="007327A7">
      <w:pPr>
        <w:spacing w:after="160" w:line="259" w:lineRule="auto"/>
        <w:jc w:val="both"/>
        <w:rPr>
          <w:rFonts w:ascii="Tahoma" w:hAnsi="Tahoma" w:cs="Tahoma"/>
          <w:bCs/>
          <w:color w:val="2F5496"/>
          <w:sz w:val="22"/>
          <w:szCs w:val="22"/>
          <w:lang w:val="sr-Cyrl-RS"/>
        </w:rPr>
      </w:pPr>
    </w:p>
    <w:p w14:paraId="17997891" w14:textId="77777777" w:rsidR="008A73B9" w:rsidRDefault="008A73B9" w:rsidP="007327A7">
      <w:pPr>
        <w:spacing w:after="160" w:line="259" w:lineRule="auto"/>
        <w:jc w:val="both"/>
        <w:rPr>
          <w:rFonts w:ascii="Tahoma" w:hAnsi="Tahoma" w:cs="Tahoma"/>
          <w:bCs/>
          <w:color w:val="2F5496"/>
          <w:sz w:val="22"/>
          <w:szCs w:val="22"/>
          <w:lang w:val="sr-Cyrl-RS"/>
        </w:rPr>
      </w:pPr>
    </w:p>
    <w:p w14:paraId="72FF554F" w14:textId="77777777" w:rsidR="008A73B9" w:rsidRDefault="008A73B9" w:rsidP="007327A7">
      <w:pPr>
        <w:spacing w:after="160" w:line="259" w:lineRule="auto"/>
        <w:jc w:val="both"/>
        <w:rPr>
          <w:rFonts w:ascii="Tahoma" w:hAnsi="Tahoma" w:cs="Tahoma"/>
          <w:bCs/>
          <w:color w:val="2F5496"/>
          <w:sz w:val="22"/>
          <w:szCs w:val="22"/>
          <w:lang w:val="sr-Cyrl-RS"/>
        </w:rPr>
      </w:pPr>
    </w:p>
    <w:p w14:paraId="563A5872" w14:textId="77777777" w:rsidR="008A73B9" w:rsidRDefault="008A73B9" w:rsidP="007327A7">
      <w:pPr>
        <w:spacing w:after="160" w:line="259" w:lineRule="auto"/>
        <w:jc w:val="both"/>
        <w:rPr>
          <w:rFonts w:ascii="Tahoma" w:hAnsi="Tahoma" w:cs="Tahoma"/>
          <w:bCs/>
          <w:color w:val="2F5496"/>
          <w:sz w:val="22"/>
          <w:szCs w:val="22"/>
          <w:lang w:val="sr-Cyrl-RS"/>
        </w:rPr>
      </w:pPr>
    </w:p>
    <w:p w14:paraId="6DB7E5B6" w14:textId="4B193BE4" w:rsidR="005A1B51" w:rsidRDefault="001170BE" w:rsidP="007327A7">
      <w:pPr>
        <w:spacing w:after="160" w:line="259" w:lineRule="auto"/>
        <w:jc w:val="both"/>
        <w:rPr>
          <w:rFonts w:ascii="Tahoma" w:hAnsi="Tahoma" w:cs="Tahoma"/>
          <w:bCs/>
          <w:color w:val="2F5496"/>
          <w:sz w:val="22"/>
          <w:szCs w:val="22"/>
          <w:lang w:val="sr-Cyrl-RS"/>
        </w:rPr>
      </w:pPr>
      <w:r w:rsidRPr="007B3070">
        <w:rPr>
          <w:rFonts w:ascii="Tahoma" w:hAnsi="Tahoma" w:cs="Tahoma"/>
          <w:bCs/>
          <w:color w:val="2F5496"/>
          <w:sz w:val="22"/>
          <w:szCs w:val="22"/>
          <w:lang w:val="sr-Cyrl-RS"/>
        </w:rPr>
        <w:t xml:space="preserve">Графикон </w:t>
      </w:r>
      <w:r w:rsidR="008A73B9">
        <w:rPr>
          <w:rFonts w:ascii="Tahoma" w:hAnsi="Tahoma" w:cs="Tahoma"/>
          <w:bCs/>
          <w:color w:val="2F5496"/>
          <w:sz w:val="22"/>
          <w:szCs w:val="22"/>
          <w:lang w:val="sr-Latn-RS"/>
        </w:rPr>
        <w:t>4</w:t>
      </w:r>
      <w:r w:rsidR="00E16726">
        <w:rPr>
          <w:rFonts w:ascii="Tahoma" w:hAnsi="Tahoma" w:cs="Tahoma"/>
          <w:bCs/>
          <w:color w:val="2F5496"/>
          <w:sz w:val="22"/>
          <w:szCs w:val="22"/>
          <w:lang w:val="sr-Latn-RS"/>
        </w:rPr>
        <w:t>:</w:t>
      </w:r>
      <w:r w:rsidRPr="007B3070">
        <w:rPr>
          <w:rFonts w:ascii="Tahoma" w:hAnsi="Tahoma" w:cs="Tahoma"/>
          <w:bCs/>
          <w:color w:val="2F5496"/>
          <w:sz w:val="22"/>
          <w:szCs w:val="22"/>
          <w:lang w:val="sr-Cyrl-RS"/>
        </w:rPr>
        <w:t xml:space="preserve"> Стопа смртности одојчади</w:t>
      </w:r>
      <w:r w:rsidR="005A1B51" w:rsidRPr="007B3070">
        <w:rPr>
          <w:rFonts w:ascii="Tahoma" w:hAnsi="Tahoma" w:cs="Tahoma"/>
          <w:bCs/>
          <w:color w:val="2F5496"/>
          <w:sz w:val="22"/>
          <w:szCs w:val="22"/>
          <w:lang w:val="sr-Cyrl-RS"/>
        </w:rPr>
        <w:t>, 2010-20</w:t>
      </w:r>
      <w:r w:rsidR="008A7D66">
        <w:rPr>
          <w:rFonts w:ascii="Tahoma" w:hAnsi="Tahoma" w:cs="Tahoma"/>
          <w:bCs/>
          <w:color w:val="2F5496"/>
          <w:sz w:val="22"/>
          <w:szCs w:val="22"/>
          <w:lang w:val="sr-Cyrl-RS"/>
        </w:rPr>
        <w:t>20</w:t>
      </w:r>
      <w:r w:rsidR="003421DD" w:rsidRPr="007B3070">
        <w:rPr>
          <w:rFonts w:ascii="Tahoma" w:hAnsi="Tahoma" w:cs="Tahoma"/>
          <w:bCs/>
          <w:color w:val="2F5496"/>
          <w:sz w:val="22"/>
          <w:szCs w:val="22"/>
          <w:lang w:val="sr-Cyrl-RS"/>
        </w:rPr>
        <w:t>.</w:t>
      </w:r>
      <w:r w:rsidR="005A1B51" w:rsidRPr="007B3070">
        <w:rPr>
          <w:rFonts w:ascii="Tahoma" w:hAnsi="Tahoma" w:cs="Tahoma"/>
          <w:bCs/>
          <w:color w:val="2F5496"/>
          <w:sz w:val="22"/>
          <w:szCs w:val="22"/>
          <w:lang w:val="sr-Cyrl-RS"/>
        </w:rPr>
        <w:t xml:space="preserve"> </w:t>
      </w:r>
      <w:r w:rsidRPr="007B3070">
        <w:rPr>
          <w:rFonts w:ascii="Tahoma" w:hAnsi="Tahoma" w:cs="Tahoma"/>
          <w:bCs/>
          <w:color w:val="2F5496"/>
          <w:sz w:val="22"/>
          <w:szCs w:val="22"/>
          <w:lang w:val="sr-Cyrl-RS"/>
        </w:rPr>
        <w:t>(</w:t>
      </w:r>
      <w:r w:rsidR="005A1B51" w:rsidRPr="007B3070">
        <w:rPr>
          <w:rFonts w:ascii="Tahoma" w:hAnsi="Tahoma" w:cs="Tahoma"/>
          <w:bCs/>
          <w:color w:val="2F5496"/>
          <w:sz w:val="22"/>
          <w:szCs w:val="22"/>
          <w:lang w:val="sr-Cyrl-RS"/>
        </w:rPr>
        <w:t>‰)</w:t>
      </w:r>
    </w:p>
    <w:p w14:paraId="1BB3C1AA" w14:textId="534F98B8" w:rsidR="00293C84" w:rsidRPr="007B3070" w:rsidRDefault="00B04715" w:rsidP="007327A7">
      <w:pPr>
        <w:spacing w:after="160" w:line="259" w:lineRule="auto"/>
        <w:jc w:val="both"/>
        <w:rPr>
          <w:rFonts w:ascii="Tahoma" w:hAnsi="Tahoma" w:cs="Tahoma"/>
          <w:bCs/>
          <w:color w:val="2F5496"/>
          <w:sz w:val="22"/>
          <w:szCs w:val="22"/>
          <w:lang w:val="sr-Cyrl-RS"/>
        </w:rPr>
      </w:pPr>
      <w:r>
        <w:rPr>
          <w:noProof/>
        </w:rPr>
        <w:drawing>
          <wp:inline distT="0" distB="0" distL="0" distR="0" wp14:anchorId="2FA2B8C4" wp14:editId="1096FC97">
            <wp:extent cx="4572000" cy="2743200"/>
            <wp:effectExtent l="0" t="0" r="0" b="0"/>
            <wp:docPr id="7" name="Chart 7">
              <a:extLst xmlns:a="http://schemas.openxmlformats.org/drawingml/2006/main">
                <a:ext uri="{FF2B5EF4-FFF2-40B4-BE49-F238E27FC236}">
                  <a16:creationId xmlns:a16="http://schemas.microsoft.com/office/drawing/2014/main" id="{1E05A53D-3D6E-0973-0F46-4208475B56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bookmarkEnd w:id="0"/>
    <w:bookmarkEnd w:id="1"/>
    <w:p w14:paraId="7ED5FEF4" w14:textId="77777777" w:rsidR="007B3070" w:rsidRDefault="007B3070" w:rsidP="007327A7">
      <w:pPr>
        <w:spacing w:after="160" w:line="259" w:lineRule="auto"/>
        <w:jc w:val="both"/>
        <w:rPr>
          <w:rFonts w:ascii="Tahoma" w:hAnsi="Tahoma" w:cs="Tahoma"/>
          <w:sz w:val="18"/>
          <w:szCs w:val="18"/>
          <w:lang w:val="sr-Cyrl-RS"/>
        </w:rPr>
      </w:pPr>
      <w:r w:rsidRPr="00AF3C50">
        <w:rPr>
          <w:rFonts w:ascii="Tahoma" w:hAnsi="Tahoma" w:cs="Tahoma"/>
          <w:sz w:val="18"/>
          <w:szCs w:val="18"/>
          <w:lang w:val="sr-Cyrl-RS"/>
        </w:rPr>
        <w:t>Извор: ДевИнфо база</w:t>
      </w:r>
      <w:r>
        <w:rPr>
          <w:rFonts w:ascii="Tahoma" w:hAnsi="Tahoma" w:cs="Tahoma"/>
          <w:sz w:val="18"/>
          <w:szCs w:val="18"/>
        </w:rPr>
        <w:t>,</w:t>
      </w:r>
      <w:r w:rsidRPr="00AF3C50">
        <w:rPr>
          <w:rFonts w:ascii="Tahoma" w:hAnsi="Tahoma" w:cs="Tahoma"/>
          <w:sz w:val="18"/>
          <w:szCs w:val="18"/>
          <w:lang w:val="sr-Cyrl-RS"/>
        </w:rPr>
        <w:t xml:space="preserve"> Републички завод за статистику</w:t>
      </w:r>
      <w:r>
        <w:rPr>
          <w:rFonts w:ascii="Tahoma" w:hAnsi="Tahoma" w:cs="Tahoma"/>
          <w:sz w:val="18"/>
          <w:szCs w:val="18"/>
          <w:lang w:val="sr-Cyrl-RS"/>
        </w:rPr>
        <w:t>.</w:t>
      </w:r>
    </w:p>
    <w:p w14:paraId="100D1DD1" w14:textId="77777777" w:rsidR="00670738" w:rsidRDefault="00670738" w:rsidP="007327A7">
      <w:pPr>
        <w:spacing w:after="160" w:line="259" w:lineRule="auto"/>
        <w:jc w:val="both"/>
        <w:rPr>
          <w:rFonts w:ascii="Tahoma" w:hAnsi="Tahoma" w:cs="Tahoma"/>
          <w:sz w:val="22"/>
          <w:szCs w:val="22"/>
          <w:lang w:val="sr-Cyrl-RS"/>
        </w:rPr>
      </w:pPr>
    </w:p>
    <w:p w14:paraId="2CF8B0F1" w14:textId="2DF44BCF" w:rsidR="001170BE" w:rsidRDefault="001170BE" w:rsidP="007327A7">
      <w:pPr>
        <w:spacing w:after="160" w:line="259" w:lineRule="auto"/>
        <w:jc w:val="both"/>
        <w:rPr>
          <w:rFonts w:ascii="Tahoma" w:hAnsi="Tahoma" w:cs="Tahoma"/>
          <w:sz w:val="22"/>
          <w:szCs w:val="22"/>
          <w:lang w:val="sr-Cyrl-RS"/>
        </w:rPr>
      </w:pPr>
      <w:r w:rsidRPr="007B3070">
        <w:rPr>
          <w:rFonts w:ascii="Tahoma" w:hAnsi="Tahoma" w:cs="Tahoma"/>
          <w:sz w:val="22"/>
          <w:szCs w:val="22"/>
          <w:lang w:val="sr-Cyrl-RS"/>
        </w:rPr>
        <w:t>Према подацима 20</w:t>
      </w:r>
      <w:r w:rsidR="00D44E9D">
        <w:rPr>
          <w:rFonts w:ascii="Tahoma" w:hAnsi="Tahoma" w:cs="Tahoma"/>
          <w:sz w:val="22"/>
          <w:szCs w:val="22"/>
          <w:lang w:val="sr-Cyrl-RS"/>
        </w:rPr>
        <w:t>20</w:t>
      </w:r>
      <w:r w:rsidRPr="007B3070">
        <w:rPr>
          <w:rFonts w:ascii="Tahoma" w:hAnsi="Tahoma" w:cs="Tahoma"/>
          <w:sz w:val="22"/>
          <w:szCs w:val="22"/>
          <w:lang w:val="sr-Cyrl-RS"/>
        </w:rPr>
        <w:t xml:space="preserve">. године </w:t>
      </w:r>
      <w:r w:rsidRPr="00990B86">
        <w:rPr>
          <w:rFonts w:ascii="Tahoma" w:hAnsi="Tahoma" w:cs="Tahoma"/>
          <w:b/>
          <w:bCs/>
          <w:color w:val="2F5496" w:themeColor="accent1" w:themeShade="BF"/>
          <w:sz w:val="22"/>
          <w:szCs w:val="22"/>
          <w:lang w:val="sr-Cyrl-RS"/>
        </w:rPr>
        <w:t>инциденца туберкулозе</w:t>
      </w:r>
      <w:r w:rsidRPr="00990B86">
        <w:rPr>
          <w:rFonts w:ascii="Tahoma" w:hAnsi="Tahoma" w:cs="Tahoma"/>
          <w:color w:val="2F5496" w:themeColor="accent1" w:themeShade="BF"/>
          <w:sz w:val="22"/>
          <w:szCs w:val="22"/>
          <w:lang w:val="sr-Cyrl-RS"/>
        </w:rPr>
        <w:t xml:space="preserve"> </w:t>
      </w:r>
      <w:r w:rsidRPr="007B3070">
        <w:rPr>
          <w:rFonts w:ascii="Tahoma" w:hAnsi="Tahoma" w:cs="Tahoma"/>
          <w:sz w:val="22"/>
          <w:szCs w:val="22"/>
          <w:lang w:val="sr-Cyrl-RS"/>
        </w:rPr>
        <w:t xml:space="preserve">на 100.000 становника у </w:t>
      </w:r>
      <w:r w:rsidR="00D13AC3">
        <w:rPr>
          <w:rFonts w:ascii="Tahoma" w:hAnsi="Tahoma" w:cs="Tahoma"/>
          <w:sz w:val="22"/>
          <w:szCs w:val="22"/>
          <w:lang w:val="sr-Cyrl-RS"/>
        </w:rPr>
        <w:t>Смедеревској Паланци</w:t>
      </w:r>
      <w:r w:rsidR="00D44E9D">
        <w:rPr>
          <w:rFonts w:ascii="Tahoma" w:hAnsi="Tahoma" w:cs="Tahoma"/>
          <w:sz w:val="22"/>
          <w:szCs w:val="22"/>
          <w:lang w:val="sr-Cyrl-RS"/>
        </w:rPr>
        <w:t xml:space="preserve"> </w:t>
      </w:r>
      <w:r w:rsidRPr="007B3070">
        <w:rPr>
          <w:rFonts w:ascii="Tahoma" w:hAnsi="Tahoma" w:cs="Tahoma"/>
          <w:sz w:val="22"/>
          <w:szCs w:val="22"/>
          <w:lang w:val="sr-Cyrl-RS"/>
        </w:rPr>
        <w:t xml:space="preserve">је </w:t>
      </w:r>
      <w:r w:rsidR="006B2B57">
        <w:rPr>
          <w:rFonts w:ascii="Tahoma" w:hAnsi="Tahoma" w:cs="Tahoma"/>
          <w:sz w:val="22"/>
          <w:szCs w:val="22"/>
          <w:lang w:val="sr-Cyrl-RS"/>
        </w:rPr>
        <w:t>ниска (</w:t>
      </w:r>
      <w:r w:rsidR="00D13AC3">
        <w:rPr>
          <w:rFonts w:ascii="Tahoma" w:hAnsi="Tahoma" w:cs="Tahoma"/>
          <w:sz w:val="22"/>
          <w:szCs w:val="22"/>
          <w:lang w:val="sr-Cyrl-RS"/>
        </w:rPr>
        <w:t>2</w:t>
      </w:r>
      <w:r w:rsidR="006B2B57">
        <w:rPr>
          <w:rFonts w:ascii="Tahoma" w:hAnsi="Tahoma" w:cs="Tahoma"/>
          <w:sz w:val="22"/>
          <w:szCs w:val="22"/>
          <w:lang w:val="sr-Cyrl-RS"/>
        </w:rPr>
        <w:t>,</w:t>
      </w:r>
      <w:r w:rsidR="00D13AC3">
        <w:rPr>
          <w:rFonts w:ascii="Tahoma" w:hAnsi="Tahoma" w:cs="Tahoma"/>
          <w:sz w:val="22"/>
          <w:szCs w:val="22"/>
          <w:lang w:val="sr-Cyrl-RS"/>
        </w:rPr>
        <w:t>3</w:t>
      </w:r>
      <w:r w:rsidR="006B2B57">
        <w:rPr>
          <w:rFonts w:ascii="Tahoma" w:hAnsi="Tahoma" w:cs="Tahoma"/>
          <w:sz w:val="22"/>
          <w:szCs w:val="22"/>
          <w:lang w:val="sr-Cyrl-RS"/>
        </w:rPr>
        <w:t xml:space="preserve">) </w:t>
      </w:r>
      <w:r w:rsidR="005A70A3">
        <w:rPr>
          <w:rFonts w:ascii="Tahoma" w:hAnsi="Tahoma" w:cs="Tahoma"/>
          <w:sz w:val="22"/>
          <w:szCs w:val="22"/>
          <w:lang w:val="sr-Cyrl-RS"/>
        </w:rPr>
        <w:t>нижа од</w:t>
      </w:r>
      <w:r w:rsidR="007F13C6">
        <w:rPr>
          <w:rFonts w:ascii="Tahoma" w:hAnsi="Tahoma" w:cs="Tahoma"/>
          <w:sz w:val="22"/>
          <w:szCs w:val="22"/>
          <w:lang w:val="sr-Cyrl-RS"/>
        </w:rPr>
        <w:t xml:space="preserve"> вредности просека </w:t>
      </w:r>
      <w:r w:rsidR="006B2B57">
        <w:rPr>
          <w:rFonts w:ascii="Tahoma" w:hAnsi="Tahoma" w:cs="Tahoma"/>
          <w:sz w:val="22"/>
          <w:szCs w:val="22"/>
          <w:lang w:val="sr-Cyrl-RS"/>
        </w:rPr>
        <w:t>Србија-југ</w:t>
      </w:r>
      <w:r w:rsidRPr="007B3070">
        <w:rPr>
          <w:rFonts w:ascii="Tahoma" w:hAnsi="Tahoma" w:cs="Tahoma"/>
          <w:sz w:val="22"/>
          <w:szCs w:val="22"/>
          <w:lang w:val="sr-Cyrl-RS"/>
        </w:rPr>
        <w:t xml:space="preserve"> (</w:t>
      </w:r>
      <w:r w:rsidR="006B2B57">
        <w:rPr>
          <w:rFonts w:ascii="Tahoma" w:hAnsi="Tahoma" w:cs="Tahoma"/>
          <w:sz w:val="22"/>
          <w:szCs w:val="22"/>
          <w:lang w:val="sr-Cyrl-RS"/>
        </w:rPr>
        <w:t xml:space="preserve">4,1). </w:t>
      </w:r>
      <w:r w:rsidR="007F13C6">
        <w:rPr>
          <w:rFonts w:ascii="Tahoma" w:hAnsi="Tahoma" w:cs="Tahoma"/>
          <w:sz w:val="22"/>
          <w:szCs w:val="22"/>
          <w:lang w:val="sr-Cyrl-RS"/>
        </w:rPr>
        <w:t xml:space="preserve">Разлика остаје и на нивоу десетогодишњег просека, с тим што </w:t>
      </w:r>
      <w:r w:rsidR="005A70A3">
        <w:rPr>
          <w:rFonts w:ascii="Tahoma" w:hAnsi="Tahoma" w:cs="Tahoma"/>
          <w:sz w:val="22"/>
          <w:szCs w:val="22"/>
          <w:lang w:val="sr-Cyrl-RS"/>
        </w:rPr>
        <w:t>су вредности индикатора</w:t>
      </w:r>
      <w:r w:rsidR="007F13C6">
        <w:rPr>
          <w:rFonts w:ascii="Tahoma" w:hAnsi="Tahoma" w:cs="Tahoma"/>
          <w:sz w:val="22"/>
          <w:szCs w:val="22"/>
          <w:lang w:val="sr-Cyrl-RS"/>
        </w:rPr>
        <w:t xml:space="preserve"> </w:t>
      </w:r>
      <w:r w:rsidR="006B2B57">
        <w:rPr>
          <w:rFonts w:ascii="Tahoma" w:hAnsi="Tahoma" w:cs="Tahoma"/>
          <w:sz w:val="22"/>
          <w:szCs w:val="22"/>
          <w:lang w:val="sr-Cyrl-RS"/>
        </w:rPr>
        <w:t>знатно виш</w:t>
      </w:r>
      <w:r w:rsidR="005A70A3">
        <w:rPr>
          <w:rFonts w:ascii="Tahoma" w:hAnsi="Tahoma" w:cs="Tahoma"/>
          <w:sz w:val="22"/>
          <w:szCs w:val="22"/>
          <w:lang w:val="sr-Cyrl-RS"/>
        </w:rPr>
        <w:t>е</w:t>
      </w:r>
      <w:r w:rsidR="006B2B57">
        <w:rPr>
          <w:rFonts w:ascii="Tahoma" w:hAnsi="Tahoma" w:cs="Tahoma"/>
          <w:sz w:val="22"/>
          <w:szCs w:val="22"/>
          <w:lang w:val="sr-Cyrl-RS"/>
        </w:rPr>
        <w:t xml:space="preserve"> </w:t>
      </w:r>
      <w:r w:rsidR="007F13C6">
        <w:rPr>
          <w:rFonts w:ascii="Tahoma" w:hAnsi="Tahoma" w:cs="Tahoma"/>
          <w:sz w:val="22"/>
          <w:szCs w:val="22"/>
          <w:lang w:val="sr-Cyrl-RS"/>
        </w:rPr>
        <w:t>н</w:t>
      </w:r>
      <w:r w:rsidR="006B2B57">
        <w:rPr>
          <w:rFonts w:ascii="Tahoma" w:hAnsi="Tahoma" w:cs="Tahoma"/>
          <w:sz w:val="22"/>
          <w:szCs w:val="22"/>
          <w:lang w:val="sr-Cyrl-RS"/>
        </w:rPr>
        <w:t xml:space="preserve">а обе територијалне јединице, </w:t>
      </w:r>
      <w:r w:rsidR="00D13AC3">
        <w:rPr>
          <w:rFonts w:ascii="Tahoma" w:hAnsi="Tahoma" w:cs="Tahoma"/>
          <w:sz w:val="22"/>
          <w:szCs w:val="22"/>
          <w:lang w:val="sr-Cyrl-RS"/>
        </w:rPr>
        <w:t>12</w:t>
      </w:r>
      <w:r w:rsidR="006B2B57">
        <w:rPr>
          <w:rFonts w:ascii="Tahoma" w:hAnsi="Tahoma" w:cs="Tahoma"/>
          <w:sz w:val="22"/>
          <w:szCs w:val="22"/>
          <w:lang w:val="sr-Cyrl-RS"/>
        </w:rPr>
        <w:t>,</w:t>
      </w:r>
      <w:r w:rsidR="00D13AC3">
        <w:rPr>
          <w:rFonts w:ascii="Tahoma" w:hAnsi="Tahoma" w:cs="Tahoma"/>
          <w:sz w:val="22"/>
          <w:szCs w:val="22"/>
          <w:lang w:val="sr-Cyrl-RS"/>
        </w:rPr>
        <w:t>0</w:t>
      </w:r>
      <w:r w:rsidR="006B2B57">
        <w:rPr>
          <w:rFonts w:ascii="Tahoma" w:hAnsi="Tahoma" w:cs="Tahoma"/>
          <w:sz w:val="22"/>
          <w:szCs w:val="22"/>
          <w:lang w:val="sr-Cyrl-RS"/>
        </w:rPr>
        <w:t xml:space="preserve"> и 13,7, респективно</w:t>
      </w:r>
      <w:r w:rsidR="007F13C6">
        <w:rPr>
          <w:rFonts w:ascii="Tahoma" w:hAnsi="Tahoma" w:cs="Tahoma"/>
          <w:sz w:val="22"/>
          <w:szCs w:val="22"/>
          <w:lang w:val="sr-Cyrl-RS"/>
        </w:rPr>
        <w:t>. Н</w:t>
      </w:r>
      <w:r w:rsidR="00E50D49">
        <w:rPr>
          <w:rFonts w:ascii="Tahoma" w:hAnsi="Tahoma" w:cs="Tahoma"/>
          <w:sz w:val="22"/>
          <w:szCs w:val="22"/>
          <w:lang w:val="sr-Cyrl-RS"/>
        </w:rPr>
        <w:t xml:space="preserve">агло смањење 2020. године се пре свега може приписати специфичним условима функционисања здравственог система у време пандемије </w:t>
      </w:r>
      <w:r w:rsidR="007F13C6">
        <w:rPr>
          <w:rFonts w:ascii="Tahoma" w:hAnsi="Tahoma" w:cs="Tahoma"/>
          <w:sz w:val="22"/>
          <w:szCs w:val="22"/>
          <w:lang w:val="sr-Cyrl-RS"/>
        </w:rPr>
        <w:t xml:space="preserve">изазване корона </w:t>
      </w:r>
      <w:r w:rsidR="00E50D49">
        <w:rPr>
          <w:rFonts w:ascii="Tahoma" w:hAnsi="Tahoma" w:cs="Tahoma"/>
          <w:sz w:val="22"/>
          <w:szCs w:val="22"/>
          <w:lang w:val="sr-Cyrl-RS"/>
        </w:rPr>
        <w:t>вирус</w:t>
      </w:r>
      <w:r w:rsidR="007F13C6">
        <w:rPr>
          <w:rFonts w:ascii="Tahoma" w:hAnsi="Tahoma" w:cs="Tahoma"/>
          <w:sz w:val="22"/>
          <w:szCs w:val="22"/>
          <w:lang w:val="sr-Cyrl-RS"/>
        </w:rPr>
        <w:t>ом.</w:t>
      </w:r>
    </w:p>
    <w:p w14:paraId="009EFCEC" w14:textId="77777777" w:rsidR="00D43DE8" w:rsidRPr="007B3070" w:rsidRDefault="00D43DE8" w:rsidP="007327A7">
      <w:pPr>
        <w:spacing w:after="160" w:line="259" w:lineRule="auto"/>
        <w:jc w:val="both"/>
        <w:rPr>
          <w:rFonts w:ascii="Tahoma" w:hAnsi="Tahoma" w:cs="Tahoma"/>
          <w:sz w:val="22"/>
          <w:szCs w:val="22"/>
          <w:lang w:val="sr-Cyrl-RS"/>
        </w:rPr>
      </w:pPr>
    </w:p>
    <w:sectPr w:rsidR="00D43DE8" w:rsidRPr="007B3070" w:rsidSect="00F35FA6">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4110C" w14:textId="77777777" w:rsidR="00E20425" w:rsidRDefault="00E20425" w:rsidP="005A1B51">
      <w:r>
        <w:separator/>
      </w:r>
    </w:p>
  </w:endnote>
  <w:endnote w:type="continuationSeparator" w:id="0">
    <w:p w14:paraId="2A559131" w14:textId="77777777" w:rsidR="00E20425" w:rsidRDefault="00E20425" w:rsidP="005A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7375239"/>
      <w:docPartObj>
        <w:docPartGallery w:val="Page Numbers (Bottom of Page)"/>
        <w:docPartUnique/>
      </w:docPartObj>
    </w:sdtPr>
    <w:sdtContent>
      <w:p w14:paraId="683B88A0" w14:textId="77777777" w:rsidR="0061034E" w:rsidRDefault="0061034E" w:rsidP="00F35F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F544F4" w14:textId="77777777" w:rsidR="0061034E" w:rsidRDefault="0061034E" w:rsidP="00F35F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8824774"/>
      <w:docPartObj>
        <w:docPartGallery w:val="Page Numbers (Bottom of Page)"/>
        <w:docPartUnique/>
      </w:docPartObj>
    </w:sdtPr>
    <w:sdtEndPr>
      <w:rPr>
        <w:rStyle w:val="PageNumber"/>
        <w:rFonts w:ascii="Tahoma" w:hAnsi="Tahoma" w:cs="Tahoma"/>
        <w:b/>
        <w:bCs/>
        <w:color w:val="1F3864" w:themeColor="accent1" w:themeShade="80"/>
        <w:sz w:val="20"/>
        <w:szCs w:val="20"/>
      </w:rPr>
    </w:sdtEndPr>
    <w:sdtContent>
      <w:p w14:paraId="22F09FB0" w14:textId="5BFF9BC4" w:rsidR="0061034E" w:rsidRPr="003A1BEA" w:rsidRDefault="0061034E" w:rsidP="00F35FA6">
        <w:pPr>
          <w:pStyle w:val="Footer"/>
          <w:framePr w:wrap="none" w:vAnchor="text" w:hAnchor="margin" w:xAlign="right" w:y="1"/>
          <w:rPr>
            <w:rStyle w:val="PageNumber"/>
            <w:rFonts w:ascii="Tahoma" w:hAnsi="Tahoma" w:cs="Tahoma"/>
            <w:b/>
            <w:bCs/>
            <w:color w:val="1F3864" w:themeColor="accent1" w:themeShade="80"/>
            <w:sz w:val="20"/>
            <w:szCs w:val="20"/>
          </w:rPr>
        </w:pPr>
        <w:r w:rsidRPr="003A1BEA">
          <w:rPr>
            <w:rStyle w:val="PageNumber"/>
            <w:rFonts w:ascii="Tahoma" w:hAnsi="Tahoma" w:cs="Tahoma"/>
            <w:b/>
            <w:bCs/>
            <w:color w:val="1F3864" w:themeColor="accent1" w:themeShade="80"/>
            <w:sz w:val="20"/>
            <w:szCs w:val="20"/>
          </w:rPr>
          <w:fldChar w:fldCharType="begin"/>
        </w:r>
        <w:r w:rsidRPr="003A1BEA">
          <w:rPr>
            <w:rStyle w:val="PageNumber"/>
            <w:rFonts w:ascii="Tahoma" w:hAnsi="Tahoma" w:cs="Tahoma"/>
            <w:b/>
            <w:bCs/>
            <w:color w:val="1F3864" w:themeColor="accent1" w:themeShade="80"/>
            <w:sz w:val="20"/>
            <w:szCs w:val="20"/>
          </w:rPr>
          <w:instrText xml:space="preserve"> PAGE </w:instrText>
        </w:r>
        <w:r w:rsidRPr="003A1BEA">
          <w:rPr>
            <w:rStyle w:val="PageNumber"/>
            <w:rFonts w:ascii="Tahoma" w:hAnsi="Tahoma" w:cs="Tahoma"/>
            <w:b/>
            <w:bCs/>
            <w:color w:val="1F3864" w:themeColor="accent1" w:themeShade="80"/>
            <w:sz w:val="20"/>
            <w:szCs w:val="20"/>
          </w:rPr>
          <w:fldChar w:fldCharType="separate"/>
        </w:r>
        <w:r w:rsidR="00F7276A">
          <w:rPr>
            <w:rStyle w:val="PageNumber"/>
            <w:rFonts w:ascii="Tahoma" w:hAnsi="Tahoma" w:cs="Tahoma"/>
            <w:b/>
            <w:bCs/>
            <w:noProof/>
            <w:color w:val="1F3864" w:themeColor="accent1" w:themeShade="80"/>
            <w:sz w:val="20"/>
            <w:szCs w:val="20"/>
          </w:rPr>
          <w:t>19</w:t>
        </w:r>
        <w:r w:rsidRPr="003A1BEA">
          <w:rPr>
            <w:rStyle w:val="PageNumber"/>
            <w:rFonts w:ascii="Tahoma" w:hAnsi="Tahoma" w:cs="Tahoma"/>
            <w:b/>
            <w:bCs/>
            <w:color w:val="1F3864" w:themeColor="accent1" w:themeShade="80"/>
            <w:sz w:val="20"/>
            <w:szCs w:val="20"/>
          </w:rPr>
          <w:fldChar w:fldCharType="end"/>
        </w:r>
      </w:p>
    </w:sdtContent>
  </w:sdt>
  <w:p w14:paraId="7F6F98A0" w14:textId="77777777" w:rsidR="0061034E" w:rsidRPr="003A1BEA" w:rsidRDefault="0061034E" w:rsidP="003A1BEA">
    <w:pPr>
      <w:pStyle w:val="Footer"/>
      <w:rPr>
        <w:rFonts w:ascii="Tahoma" w:hAnsi="Tahoma" w:cs="Tahoma"/>
        <w:b/>
        <w:bCs/>
        <w:color w:val="1F3864" w:themeColor="accent1" w:themeShade="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F7420" w14:textId="77777777" w:rsidR="00E20425" w:rsidRDefault="00E20425" w:rsidP="005A1B51">
      <w:r>
        <w:separator/>
      </w:r>
    </w:p>
  </w:footnote>
  <w:footnote w:type="continuationSeparator" w:id="0">
    <w:p w14:paraId="49C88BB7" w14:textId="77777777" w:rsidR="00E20425" w:rsidRDefault="00E20425" w:rsidP="005A1B51">
      <w:r>
        <w:continuationSeparator/>
      </w:r>
    </w:p>
  </w:footnote>
  <w:footnote w:id="1">
    <w:p w14:paraId="2AD94C00" w14:textId="41C427CA" w:rsidR="007C04F6" w:rsidRPr="00602A9E" w:rsidRDefault="007C04F6" w:rsidP="00473F7D">
      <w:pPr>
        <w:pStyle w:val="FootnoteText"/>
        <w:jc w:val="both"/>
        <w:rPr>
          <w:rFonts w:ascii="Tahoma" w:hAnsi="Tahoma" w:cs="Tahoma"/>
          <w:sz w:val="18"/>
          <w:szCs w:val="18"/>
          <w:lang w:val="sr-Cyrl-RS"/>
        </w:rPr>
      </w:pPr>
      <w:r w:rsidRPr="00602A9E">
        <w:rPr>
          <w:rStyle w:val="FootnoteReference"/>
          <w:rFonts w:ascii="Tahoma" w:hAnsi="Tahoma" w:cs="Tahoma"/>
          <w:sz w:val="18"/>
          <w:szCs w:val="18"/>
        </w:rPr>
        <w:footnoteRef/>
      </w:r>
      <w:r w:rsidRPr="00602A9E">
        <w:rPr>
          <w:rFonts w:ascii="Tahoma" w:hAnsi="Tahoma" w:cs="Tahoma"/>
          <w:sz w:val="18"/>
          <w:szCs w:val="18"/>
        </w:rPr>
        <w:t xml:space="preserve"> </w:t>
      </w:r>
      <w:r w:rsidR="00C71C36">
        <w:rPr>
          <w:rFonts w:ascii="Tahoma" w:hAnsi="Tahoma" w:cs="Tahoma"/>
          <w:sz w:val="18"/>
          <w:szCs w:val="18"/>
          <w:lang w:val="sr-Cyrl-RS"/>
        </w:rPr>
        <w:t>Подручје</w:t>
      </w:r>
      <w:r w:rsidR="00304E37" w:rsidRPr="00602A9E">
        <w:rPr>
          <w:rFonts w:ascii="Tahoma" w:hAnsi="Tahoma" w:cs="Tahoma"/>
          <w:sz w:val="18"/>
          <w:szCs w:val="18"/>
          <w:lang w:val="sr-Cyrl-RS"/>
        </w:rPr>
        <w:t xml:space="preserve"> Србиј</w:t>
      </w:r>
      <w:r w:rsidR="00040796">
        <w:rPr>
          <w:rFonts w:ascii="Tahoma" w:hAnsi="Tahoma" w:cs="Tahoma"/>
          <w:sz w:val="18"/>
          <w:szCs w:val="18"/>
          <w:lang w:val="sr-Cyrl-RS"/>
        </w:rPr>
        <w:t>а</w:t>
      </w:r>
      <w:r w:rsidR="00304E37" w:rsidRPr="00602A9E">
        <w:rPr>
          <w:rFonts w:ascii="Tahoma" w:hAnsi="Tahoma" w:cs="Tahoma"/>
          <w:sz w:val="18"/>
          <w:szCs w:val="18"/>
          <w:lang w:val="sr-Cyrl-RS"/>
        </w:rPr>
        <w:t>-југ обухвата Регион</w:t>
      </w:r>
      <w:r w:rsidR="00F07A23" w:rsidRPr="00602A9E">
        <w:rPr>
          <w:rFonts w:ascii="Tahoma" w:hAnsi="Tahoma" w:cs="Tahoma"/>
          <w:sz w:val="18"/>
          <w:szCs w:val="18"/>
          <w:lang w:val="sr-Cyrl-RS"/>
        </w:rPr>
        <w:t xml:space="preserve"> Шумадије и Западне Србије и Регион Јужне и Источне Србије. </w:t>
      </w:r>
    </w:p>
  </w:footnote>
  <w:footnote w:id="2">
    <w:p w14:paraId="70B18E2D" w14:textId="5CF44A44" w:rsidR="00473F7D" w:rsidRPr="00473F7D" w:rsidRDefault="00473F7D" w:rsidP="00473F7D">
      <w:pPr>
        <w:pStyle w:val="FootnoteText"/>
        <w:jc w:val="both"/>
        <w:rPr>
          <w:rFonts w:ascii="Tahoma" w:hAnsi="Tahoma" w:cs="Tahoma"/>
          <w:sz w:val="18"/>
          <w:szCs w:val="18"/>
          <w:lang w:val="sr-Cyrl-RS"/>
        </w:rPr>
      </w:pPr>
      <w:r w:rsidRPr="00473F7D">
        <w:rPr>
          <w:rStyle w:val="FootnoteReference"/>
          <w:rFonts w:ascii="Tahoma" w:hAnsi="Tahoma" w:cs="Tahoma"/>
          <w:sz w:val="18"/>
          <w:szCs w:val="18"/>
        </w:rPr>
        <w:footnoteRef/>
      </w:r>
      <w:r w:rsidRPr="00473F7D">
        <w:rPr>
          <w:rFonts w:ascii="Tahoma" w:hAnsi="Tahoma" w:cs="Tahoma"/>
          <w:sz w:val="18"/>
          <w:szCs w:val="18"/>
        </w:rPr>
        <w:t xml:space="preserve"> </w:t>
      </w:r>
      <w:r w:rsidRPr="00473F7D">
        <w:rPr>
          <w:rFonts w:ascii="Tahoma" w:hAnsi="Tahoma" w:cs="Tahoma"/>
          <w:sz w:val="18"/>
          <w:szCs w:val="18"/>
          <w:lang w:val="sr-Cyrl-RS"/>
        </w:rPr>
        <w:t>Укуп</w:t>
      </w:r>
      <w:r>
        <w:rPr>
          <w:rFonts w:ascii="Tahoma" w:hAnsi="Tahoma" w:cs="Tahoma"/>
          <w:sz w:val="18"/>
          <w:szCs w:val="18"/>
          <w:lang w:val="sr-Cyrl-RS"/>
        </w:rPr>
        <w:t>а</w:t>
      </w:r>
      <w:r w:rsidRPr="00473F7D">
        <w:rPr>
          <w:rFonts w:ascii="Tahoma" w:hAnsi="Tahoma" w:cs="Tahoma"/>
          <w:sz w:val="18"/>
          <w:szCs w:val="18"/>
          <w:lang w:val="sr-Cyrl-RS"/>
        </w:rPr>
        <w:t>н број ЈЛС на подручју Србија-југ је 99.</w:t>
      </w:r>
    </w:p>
  </w:footnote>
  <w:footnote w:id="3">
    <w:p w14:paraId="63ED13D9" w14:textId="05ABE8DD" w:rsidR="004A3DB2" w:rsidRPr="004A3DB2" w:rsidRDefault="004A3DB2">
      <w:pPr>
        <w:pStyle w:val="FootnoteText"/>
        <w:rPr>
          <w:lang w:val="sr-Cyrl-RS"/>
        </w:rPr>
      </w:pPr>
      <w:r>
        <w:rPr>
          <w:rStyle w:val="FootnoteReference"/>
        </w:rPr>
        <w:footnoteRef/>
      </w:r>
      <w:r>
        <w:t xml:space="preserve"> </w:t>
      </w:r>
      <w:r>
        <w:rPr>
          <w:rFonts w:ascii="Tahoma" w:hAnsi="Tahoma" w:cs="Tahoma"/>
          <w:color w:val="000000"/>
          <w:sz w:val="18"/>
          <w:szCs w:val="18"/>
          <w:lang w:val="sr-Cyrl-RS"/>
        </w:rPr>
        <w:t>ЦОР</w:t>
      </w:r>
      <w:r>
        <w:rPr>
          <w:rStyle w:val="apple-converted-space"/>
          <w:rFonts w:ascii="Tahoma" w:hAnsi="Tahoma" w:cs="Tahoma"/>
          <w:color w:val="000000"/>
          <w:sz w:val="18"/>
          <w:szCs w:val="18"/>
          <w:lang w:val="sr-Cyrl-RS"/>
        </w:rPr>
        <w:t> </w:t>
      </w:r>
      <w:r>
        <w:rPr>
          <w:rFonts w:ascii="Tahoma" w:hAnsi="Tahoma" w:cs="Tahoma"/>
          <w:color w:val="000000"/>
          <w:sz w:val="18"/>
          <w:szCs w:val="18"/>
          <w:lang w:val="sr-Cyrl-RS"/>
        </w:rPr>
        <w:t>1.3.: Применити одговарајуће националне системе социјалне заштите и мере за све, укључујући најугроженије и до 2030. постићи довољно велики обухват сиромашних и рањивих.</w:t>
      </w:r>
    </w:p>
  </w:footnote>
  <w:footnote w:id="4">
    <w:p w14:paraId="6C9B2315" w14:textId="784ED91E" w:rsidR="00EC7985" w:rsidRPr="005E0592" w:rsidRDefault="00EC7985" w:rsidP="005E0592">
      <w:pPr>
        <w:pStyle w:val="FootnoteText"/>
        <w:jc w:val="both"/>
        <w:rPr>
          <w:rFonts w:ascii="Tahoma" w:hAnsi="Tahoma" w:cs="Tahoma"/>
          <w:sz w:val="18"/>
          <w:szCs w:val="18"/>
          <w:lang w:val="sr-Latn-RS"/>
        </w:rPr>
      </w:pPr>
      <w:r w:rsidRPr="005E0592">
        <w:rPr>
          <w:rStyle w:val="FootnoteReference"/>
          <w:rFonts w:ascii="Tahoma" w:hAnsi="Tahoma" w:cs="Tahoma"/>
          <w:sz w:val="18"/>
          <w:szCs w:val="18"/>
          <w:lang w:val="sr-Cyrl-RS"/>
        </w:rPr>
        <w:footnoteRef/>
      </w:r>
      <w:r w:rsidRPr="005E0592">
        <w:rPr>
          <w:rFonts w:ascii="Tahoma" w:hAnsi="Tahoma" w:cs="Tahoma"/>
          <w:sz w:val="18"/>
          <w:szCs w:val="18"/>
          <w:lang w:val="sr-Cyrl-RS"/>
        </w:rPr>
        <w:t xml:space="preserve"> Капацитети приватних домова за старе готово су се изједначили да са онима у јавном сектору. У 240 приватних домова је 2020. године било смештено приближно 6.270 корисника старијих од 65 година,  док је у јавном сектору у домовима за старе било приближно 5.900 корисника (65+),  а у домовима за лица са тешкоћама 664 корисника.</w:t>
      </w:r>
      <w:r w:rsidR="005E0592" w:rsidRPr="005E0592">
        <w:rPr>
          <w:rFonts w:ascii="Tahoma" w:hAnsi="Tahoma" w:cs="Tahoma"/>
          <w:sz w:val="18"/>
          <w:szCs w:val="18"/>
          <w:lang w:val="sr-Cyrl-RS"/>
        </w:rPr>
        <w:t xml:space="preserve"> </w:t>
      </w:r>
      <w:r w:rsidR="005E0592" w:rsidRPr="005E0592">
        <w:rPr>
          <w:rStyle w:val="FootnoteTextChar"/>
          <w:rFonts w:ascii="Tahoma" w:eastAsia="Calibri" w:hAnsi="Tahoma" w:cs="Tahoma"/>
          <w:sz w:val="18"/>
          <w:szCs w:val="18"/>
          <w:lang w:val="sr-Cyrl-RS"/>
        </w:rPr>
        <w:t xml:space="preserve">Републички завод за социјалну заштиту (2021). </w:t>
      </w:r>
      <w:r w:rsidR="005E0592" w:rsidRPr="005E0592">
        <w:rPr>
          <w:rStyle w:val="FootnoteTextChar"/>
          <w:rFonts w:ascii="Tahoma" w:eastAsia="MS Mincho" w:hAnsi="Tahoma" w:cs="Tahoma"/>
          <w:i/>
          <w:sz w:val="18"/>
          <w:szCs w:val="18"/>
          <w:lang w:val="sr-Cyrl-RS"/>
        </w:rPr>
        <w:t>Извештај о раду установа социјалне заштите за смештај одраслих и старијих корисника за 2020. годину</w:t>
      </w:r>
      <w:r w:rsidR="005E0592" w:rsidRPr="005E0592">
        <w:rPr>
          <w:rStyle w:val="FootnoteTextChar"/>
          <w:rFonts w:ascii="Tahoma" w:eastAsia="MS Mincho" w:hAnsi="Tahoma" w:cs="Tahoma"/>
          <w:sz w:val="18"/>
          <w:szCs w:val="18"/>
          <w:lang w:val="sr-Cyrl-RS"/>
        </w:rPr>
        <w:t>, Београд</w:t>
      </w:r>
      <w:r w:rsidR="005E0592">
        <w:rPr>
          <w:rStyle w:val="FootnoteTextChar"/>
          <w:rFonts w:ascii="Tahoma" w:eastAsia="MS Mincho" w:hAnsi="Tahoma" w:cs="Tahoma"/>
          <w:sz w:val="18"/>
          <w:szCs w:val="18"/>
          <w:lang w:val="sr-Latn-RS"/>
        </w:rPr>
        <w:t>.</w:t>
      </w:r>
    </w:p>
  </w:footnote>
  <w:footnote w:id="5">
    <w:p w14:paraId="59F2A3F1" w14:textId="77777777" w:rsidR="00744D73" w:rsidRPr="000F7C05" w:rsidRDefault="00744D73" w:rsidP="00744D73">
      <w:pPr>
        <w:pStyle w:val="FootnoteText"/>
        <w:rPr>
          <w:rFonts w:ascii="Tahoma" w:hAnsi="Tahoma" w:cs="Tahoma"/>
          <w:sz w:val="18"/>
          <w:szCs w:val="18"/>
          <w:lang w:val="sr-Cyrl-RS"/>
        </w:rPr>
      </w:pPr>
      <w:r w:rsidRPr="000F7C05">
        <w:rPr>
          <w:rStyle w:val="FootnoteReference"/>
          <w:rFonts w:ascii="Tahoma" w:hAnsi="Tahoma" w:cs="Tahoma"/>
          <w:sz w:val="18"/>
          <w:szCs w:val="18"/>
        </w:rPr>
        <w:footnoteRef/>
      </w:r>
      <w:r w:rsidRPr="000F7C05">
        <w:rPr>
          <w:rFonts w:ascii="Tahoma" w:hAnsi="Tahoma" w:cs="Tahoma"/>
          <w:sz w:val="18"/>
          <w:szCs w:val="18"/>
        </w:rPr>
        <w:t xml:space="preserve"> </w:t>
      </w:r>
      <w:r w:rsidRPr="003E07A0">
        <w:rPr>
          <w:rFonts w:ascii="Tahoma" w:hAnsi="Tahoma" w:cs="Tahoma"/>
          <w:color w:val="000000" w:themeColor="text1"/>
          <w:sz w:val="18"/>
          <w:szCs w:val="18"/>
          <w:lang w:val="sr-Cyrl-RS"/>
        </w:rPr>
        <w:t xml:space="preserve">Сви подаци о услугама социјалне заштите у мандату ЈЛС су на основу истраживања </w:t>
      </w:r>
      <w:r w:rsidRPr="003E07A0">
        <w:rPr>
          <w:rFonts w:ascii="Tahoma" w:hAnsi="Tahoma" w:cs="Tahoma"/>
          <w:sz w:val="18"/>
          <w:szCs w:val="18"/>
          <w:lang w:val="sr-Cyrl-RS"/>
        </w:rPr>
        <w:t xml:space="preserve">Матковић и Страњаковић (2020). </w:t>
      </w:r>
      <w:r w:rsidRPr="00976D8E">
        <w:rPr>
          <w:rFonts w:ascii="Tahoma" w:hAnsi="Tahoma" w:cs="Tahoma"/>
          <w:i/>
          <w:sz w:val="18"/>
          <w:szCs w:val="18"/>
          <w:lang w:val="sr-Cyrl-RS"/>
        </w:rPr>
        <w:t>Мапирање услуга социјалне заштите и материјалне подршке у надлежности ЈЛС у Републици Србији</w:t>
      </w:r>
      <w:r w:rsidRPr="003E07A0">
        <w:rPr>
          <w:rStyle w:val="Hyperlink"/>
          <w:rFonts w:ascii="Tahoma" w:hAnsi="Tahoma" w:cs="Tahoma"/>
          <w:i/>
          <w:sz w:val="18"/>
          <w:szCs w:val="18"/>
          <w:lang w:val="sr-Cyrl-RS"/>
        </w:rPr>
        <w:t xml:space="preserve"> </w:t>
      </w:r>
      <w:r w:rsidRPr="003E07A0">
        <w:rPr>
          <w:rFonts w:ascii="Tahoma" w:hAnsi="Tahoma" w:cs="Tahoma"/>
          <w:iCs/>
          <w:color w:val="000000" w:themeColor="text1"/>
          <w:sz w:val="18"/>
          <w:szCs w:val="18"/>
          <w:lang w:val="sr-Cyrl-RS"/>
        </w:rPr>
        <w:t xml:space="preserve">Београд: </w:t>
      </w:r>
      <w:r w:rsidRPr="003E07A0">
        <w:rPr>
          <w:rFonts w:ascii="Tahoma" w:eastAsia="Times New Roman" w:hAnsi="Tahoma" w:cs="Tahoma"/>
          <w:color w:val="000000" w:themeColor="text1"/>
          <w:sz w:val="18"/>
          <w:szCs w:val="18"/>
          <w:lang w:val="sr-Cyrl-RS" w:eastAsia="en-GB"/>
        </w:rPr>
        <w:t>Тим за социјално укључивање и смањење сиромаштва Владе Републике Србије.</w:t>
      </w:r>
    </w:p>
  </w:footnote>
  <w:footnote w:id="6">
    <w:p w14:paraId="4C8835E2" w14:textId="77777777" w:rsidR="00744D73" w:rsidRPr="000F7C05" w:rsidRDefault="00744D73" w:rsidP="00744D73">
      <w:pPr>
        <w:pStyle w:val="FootnoteText"/>
        <w:rPr>
          <w:rFonts w:ascii="Tahoma" w:hAnsi="Tahoma" w:cs="Tahoma"/>
          <w:sz w:val="18"/>
          <w:szCs w:val="18"/>
          <w:lang w:val="sr-Cyrl-RS"/>
        </w:rPr>
      </w:pPr>
      <w:r w:rsidRPr="000F7C05">
        <w:rPr>
          <w:rStyle w:val="FootnoteReference"/>
          <w:rFonts w:ascii="Tahoma" w:hAnsi="Tahoma" w:cs="Tahoma"/>
          <w:sz w:val="18"/>
          <w:szCs w:val="18"/>
        </w:rPr>
        <w:footnoteRef/>
      </w:r>
      <w:r w:rsidRPr="000F7C05">
        <w:rPr>
          <w:rFonts w:ascii="Tahoma" w:hAnsi="Tahoma" w:cs="Tahoma"/>
          <w:sz w:val="18"/>
          <w:szCs w:val="18"/>
        </w:rPr>
        <w:t xml:space="preserve"> </w:t>
      </w:r>
      <w:r w:rsidRPr="000F7C05">
        <w:rPr>
          <w:rFonts w:ascii="Tahoma" w:hAnsi="Tahoma" w:cs="Tahoma"/>
          <w:sz w:val="18"/>
          <w:szCs w:val="18"/>
          <w:lang w:val="sr-Cyrl-RS"/>
        </w:rPr>
        <w:t xml:space="preserve">Као и индикатор удео расхода за услуге у буџету ЈЛС, просек је непондерисан и не укључује ЈЛС које немају расходе за услуге. </w:t>
      </w:r>
    </w:p>
  </w:footnote>
  <w:footnote w:id="7">
    <w:p w14:paraId="1B1E2A75" w14:textId="77777777" w:rsidR="00744D73" w:rsidRPr="006F3587" w:rsidRDefault="00744D73" w:rsidP="00744D73">
      <w:pPr>
        <w:pStyle w:val="FootnoteText"/>
        <w:rPr>
          <w:rFonts w:ascii="Tahoma" w:hAnsi="Tahoma" w:cs="Tahoma"/>
          <w:sz w:val="18"/>
          <w:szCs w:val="18"/>
          <w:lang w:val="sr-Cyrl-RS"/>
        </w:rPr>
      </w:pPr>
      <w:r w:rsidRPr="006F3587">
        <w:rPr>
          <w:rStyle w:val="FootnoteReference"/>
          <w:rFonts w:ascii="Tahoma" w:hAnsi="Tahoma" w:cs="Tahoma"/>
          <w:sz w:val="18"/>
          <w:szCs w:val="18"/>
          <w:lang w:val="sr-Cyrl-RS"/>
        </w:rPr>
        <w:footnoteRef/>
      </w:r>
      <w:r w:rsidRPr="006F3587">
        <w:rPr>
          <w:rFonts w:ascii="Tahoma" w:hAnsi="Tahoma" w:cs="Tahoma"/>
          <w:sz w:val="18"/>
          <w:szCs w:val="18"/>
          <w:lang w:val="sr-Cyrl-RS"/>
        </w:rPr>
        <w:t xml:space="preserve"> Уредба о наменским трансферима у социјалној заштити, Службени гласник РС, бр. 55/05, 71/05 − исправка, 101/07, 65/08, 16/11, 68/12 − УС, 72/12, 7/14 − УС и 44/14),</w:t>
      </w:r>
      <w:r>
        <w:rPr>
          <w:rFonts w:ascii="Tahoma" w:hAnsi="Tahoma" w:cs="Tahoma"/>
          <w:sz w:val="18"/>
          <w:szCs w:val="18"/>
          <w:lang w:val="sr-Cyrl-RS"/>
        </w:rPr>
        <w:t xml:space="preserve"> </w:t>
      </w:r>
      <w:hyperlink r:id="rId1" w:history="1">
        <w:r w:rsidRPr="002375F7">
          <w:rPr>
            <w:rStyle w:val="Hyperlink"/>
            <w:rFonts w:ascii="Tahoma" w:hAnsi="Tahoma" w:cs="Tahoma"/>
            <w:sz w:val="18"/>
            <w:szCs w:val="18"/>
            <w:lang w:val="sr-Cyrl-RS"/>
          </w:rPr>
          <w:t>http://www.pravno-informacioni-sistem.rs/SlGlasnikPortal/eli/rep/sgrs/vlada/uredba/2016/18/1/reg</w:t>
        </w:r>
      </w:hyperlink>
      <w:r>
        <w:rPr>
          <w:rFonts w:ascii="Tahoma" w:hAnsi="Tahoma" w:cs="Tahoma"/>
          <w:sz w:val="18"/>
          <w:szCs w:val="18"/>
          <w:lang w:val="sr-Cyrl-RS"/>
        </w:rPr>
        <w:t xml:space="preserve"> </w:t>
      </w:r>
    </w:p>
  </w:footnote>
  <w:footnote w:id="8">
    <w:p w14:paraId="7CA741CE" w14:textId="293D2F12" w:rsidR="00DD1046" w:rsidRPr="00473964" w:rsidRDefault="00DD1046" w:rsidP="00DD1046">
      <w:pPr>
        <w:pStyle w:val="FootnoteText"/>
        <w:rPr>
          <w:rFonts w:ascii="Tahoma" w:hAnsi="Tahoma" w:cs="Tahoma"/>
          <w:sz w:val="18"/>
          <w:szCs w:val="18"/>
          <w:lang w:val="sr-Cyrl-RS"/>
        </w:rPr>
      </w:pPr>
      <w:r w:rsidRPr="00473964">
        <w:rPr>
          <w:rStyle w:val="FootnoteReference"/>
          <w:rFonts w:ascii="Tahoma" w:hAnsi="Tahoma" w:cs="Tahoma"/>
          <w:sz w:val="18"/>
          <w:szCs w:val="18"/>
        </w:rPr>
        <w:footnoteRef/>
      </w:r>
      <w:r w:rsidRPr="00473964">
        <w:rPr>
          <w:rFonts w:ascii="Tahoma" w:hAnsi="Tahoma" w:cs="Tahoma"/>
          <w:sz w:val="18"/>
          <w:szCs w:val="18"/>
        </w:rPr>
        <w:t xml:space="preserve"> </w:t>
      </w:r>
      <w:r>
        <w:rPr>
          <w:rFonts w:ascii="Tahoma" w:hAnsi="Tahoma" w:cs="Tahoma"/>
          <w:sz w:val="18"/>
          <w:szCs w:val="18"/>
          <w:lang w:val="sr-Cyrl-RS"/>
        </w:rPr>
        <w:t xml:space="preserve">Подаци о услугама социјалне заштите у мандату ЈЛС 2015. године, на основу истраживања Матковић и Страњаковић (2016), </w:t>
      </w:r>
      <w:r w:rsidRPr="008E6BC0">
        <w:rPr>
          <w:rFonts w:ascii="Tahoma" w:hAnsi="Tahoma" w:cs="Tahoma"/>
          <w:i/>
          <w:sz w:val="18"/>
          <w:szCs w:val="18"/>
          <w:lang w:val="sr-Cyrl-RS"/>
        </w:rPr>
        <w:t>Мапирање услуга социјалне заштите у надлежности ЈЛС</w:t>
      </w:r>
      <w:r>
        <w:rPr>
          <w:rFonts w:ascii="Tahoma" w:hAnsi="Tahoma" w:cs="Tahoma"/>
          <w:sz w:val="18"/>
          <w:szCs w:val="18"/>
          <w:lang w:val="sr-Cyrl-RS"/>
        </w:rPr>
        <w:t xml:space="preserve">, Београд, Тим за социјално укључивање и смањење сиромаштва Владе Републике </w:t>
      </w:r>
      <w:proofErr w:type="spellStart"/>
      <w:r>
        <w:rPr>
          <w:rFonts w:ascii="Tahoma" w:hAnsi="Tahoma" w:cs="Tahoma"/>
          <w:sz w:val="18"/>
          <w:szCs w:val="18"/>
          <w:lang w:val="sr-Cyrl-RS"/>
        </w:rPr>
        <w:t>Србије</w:t>
      </w:r>
      <w:r w:rsidR="00F1398E">
        <w:rPr>
          <w:rFonts w:ascii="Tahoma" w:hAnsi="Tahoma" w:cs="Tahoma"/>
          <w:sz w:val="18"/>
          <w:szCs w:val="18"/>
          <w:lang w:val="sr-Cyrl-RS"/>
        </w:rPr>
        <w:t>ве</w:t>
      </w:r>
      <w:proofErr w:type="spellEnd"/>
    </w:p>
  </w:footnote>
  <w:footnote w:id="9">
    <w:p w14:paraId="33BD4BFF" w14:textId="7A23999A" w:rsidR="00F1398E" w:rsidRPr="00112C07" w:rsidRDefault="00744D73" w:rsidP="00744D73">
      <w:pPr>
        <w:pStyle w:val="FootnoteText"/>
        <w:rPr>
          <w:rFonts w:ascii="Tahoma" w:hAnsi="Tahoma" w:cs="Tahoma"/>
          <w:sz w:val="18"/>
          <w:szCs w:val="18"/>
        </w:rPr>
      </w:pPr>
      <w:r w:rsidRPr="00112C07">
        <w:rPr>
          <w:rStyle w:val="FootnoteReference"/>
          <w:rFonts w:ascii="Tahoma" w:hAnsi="Tahoma" w:cs="Tahoma"/>
          <w:sz w:val="18"/>
          <w:szCs w:val="18"/>
        </w:rPr>
        <w:footnoteRef/>
      </w:r>
      <w:r w:rsidRPr="00112C07">
        <w:rPr>
          <w:rFonts w:ascii="Tahoma" w:hAnsi="Tahoma" w:cs="Tahoma"/>
          <w:sz w:val="18"/>
          <w:szCs w:val="18"/>
        </w:rPr>
        <w:t xml:space="preserve"> </w:t>
      </w:r>
      <w:r w:rsidR="00F1398E" w:rsidRPr="00F1398E">
        <w:rPr>
          <w:rFonts w:ascii="Tahoma" w:hAnsi="Tahoma" w:cs="Tahoma"/>
          <w:sz w:val="18"/>
          <w:szCs w:val="18"/>
        </w:rPr>
        <w:t>https://www.smederevskapalanka.rs/дневни-боравак-пуж/</w:t>
      </w:r>
    </w:p>
  </w:footnote>
  <w:footnote w:id="10">
    <w:p w14:paraId="6D6A7A4D" w14:textId="77777777" w:rsidR="00744D73" w:rsidRPr="00667B9E" w:rsidRDefault="00744D73" w:rsidP="00744D73">
      <w:pPr>
        <w:pStyle w:val="FootnoteText"/>
        <w:rPr>
          <w:rFonts w:ascii="Tahoma" w:hAnsi="Tahoma" w:cs="Tahoma"/>
          <w:sz w:val="18"/>
          <w:szCs w:val="18"/>
          <w:lang w:val="sr-Cyrl-RS"/>
        </w:rPr>
      </w:pPr>
      <w:r w:rsidRPr="00667B9E">
        <w:rPr>
          <w:rStyle w:val="FootnoteReference"/>
          <w:rFonts w:ascii="Tahoma" w:hAnsi="Tahoma" w:cs="Tahoma"/>
          <w:sz w:val="18"/>
          <w:szCs w:val="18"/>
        </w:rPr>
        <w:footnoteRef/>
      </w:r>
      <w:r w:rsidRPr="00667B9E">
        <w:rPr>
          <w:rFonts w:ascii="Tahoma" w:hAnsi="Tahoma" w:cs="Tahoma"/>
          <w:sz w:val="18"/>
          <w:szCs w:val="18"/>
        </w:rPr>
        <w:t xml:space="preserve"> </w:t>
      </w:r>
      <w:r w:rsidRPr="00667B9E">
        <w:rPr>
          <w:rFonts w:ascii="Tahoma" w:hAnsi="Tahoma" w:cs="Tahoma"/>
          <w:sz w:val="18"/>
          <w:szCs w:val="18"/>
          <w:lang w:val="sr-Cyrl-RS"/>
        </w:rPr>
        <w:t>Удео корисника (0-25) у укупној популацији до 26 година</w:t>
      </w:r>
    </w:p>
  </w:footnote>
  <w:footnote w:id="11">
    <w:p w14:paraId="28E2BF54" w14:textId="77777777" w:rsidR="00744D73" w:rsidRPr="0075471B" w:rsidRDefault="00744D73" w:rsidP="00744D73">
      <w:pPr>
        <w:pStyle w:val="FootnoteText"/>
        <w:rPr>
          <w:lang w:val="sr-Cyrl-RS"/>
        </w:rPr>
      </w:pPr>
      <w:r>
        <w:rPr>
          <w:rStyle w:val="FootnoteReference"/>
        </w:rPr>
        <w:footnoteRef/>
      </w:r>
      <w:r>
        <w:t xml:space="preserve"> </w:t>
      </w:r>
      <w:r w:rsidRPr="00E7481A">
        <w:rPr>
          <w:rFonts w:ascii="Tahoma" w:hAnsi="Tahoma" w:cs="Tahoma"/>
          <w:sz w:val="18"/>
          <w:szCs w:val="18"/>
          <w:lang w:val="sr-Cyrl-RS"/>
        </w:rPr>
        <w:t>Дефиницију индикатора видети у Боксу 5</w:t>
      </w:r>
      <w:r>
        <w:rPr>
          <w:rFonts w:ascii="Tahoma" w:hAnsi="Tahoma" w:cs="Tahoma"/>
          <w:sz w:val="18"/>
          <w:szCs w:val="18"/>
          <w:lang w:val="sr-Latn-RS"/>
        </w:rPr>
        <w:t xml:space="preserve">, </w:t>
      </w:r>
      <w:r>
        <w:rPr>
          <w:rFonts w:ascii="Tahoma" w:hAnsi="Tahoma" w:cs="Tahoma"/>
          <w:sz w:val="18"/>
          <w:szCs w:val="18"/>
          <w:lang w:val="sr-Cyrl-RS"/>
        </w:rPr>
        <w:t>а дефиницију еквивалентног броја корисника у Боксу 4</w:t>
      </w:r>
    </w:p>
  </w:footnote>
  <w:footnote w:id="12">
    <w:p w14:paraId="1DD2CDF6" w14:textId="77777777" w:rsidR="00744D73" w:rsidRPr="00FA3E29" w:rsidRDefault="00744D73" w:rsidP="00744D73">
      <w:pPr>
        <w:pStyle w:val="FootnoteText"/>
        <w:rPr>
          <w:rFonts w:ascii="Tahoma" w:hAnsi="Tahoma" w:cs="Tahoma"/>
          <w:sz w:val="18"/>
          <w:szCs w:val="18"/>
          <w:lang w:val="sr-Cyrl-RS"/>
        </w:rPr>
      </w:pPr>
      <w:r w:rsidRPr="00FA3E29">
        <w:rPr>
          <w:rStyle w:val="FootnoteReference"/>
          <w:rFonts w:ascii="Tahoma" w:hAnsi="Tahoma" w:cs="Tahoma"/>
          <w:sz w:val="18"/>
          <w:szCs w:val="18"/>
        </w:rPr>
        <w:footnoteRef/>
      </w:r>
      <w:r w:rsidRPr="00FA3E29">
        <w:rPr>
          <w:rFonts w:ascii="Tahoma" w:hAnsi="Tahoma" w:cs="Tahoma"/>
          <w:sz w:val="18"/>
          <w:szCs w:val="18"/>
        </w:rPr>
        <w:t xml:space="preserve"> </w:t>
      </w:r>
      <w:r w:rsidRPr="00FA3E29">
        <w:rPr>
          <w:rFonts w:ascii="Tahoma" w:hAnsi="Tahoma" w:cs="Tahoma"/>
          <w:sz w:val="18"/>
          <w:szCs w:val="18"/>
          <w:lang w:val="sr-Cyrl-RS"/>
        </w:rPr>
        <w:t>У 2018. години ова услуга се пружала у укупно 20 ЈЛС у Србији</w:t>
      </w:r>
    </w:p>
  </w:footnote>
  <w:footnote w:id="13">
    <w:p w14:paraId="3B34250B" w14:textId="77777777" w:rsidR="00744D73" w:rsidRPr="00FA3E29" w:rsidRDefault="00744D73" w:rsidP="00744D73">
      <w:pPr>
        <w:pStyle w:val="FootnoteText"/>
        <w:rPr>
          <w:rFonts w:ascii="Tahoma" w:hAnsi="Tahoma" w:cs="Tahoma"/>
          <w:sz w:val="18"/>
          <w:szCs w:val="18"/>
          <w:lang w:val="sr-Cyrl-RS"/>
        </w:rPr>
      </w:pPr>
      <w:r w:rsidRPr="00FA3E29">
        <w:rPr>
          <w:rStyle w:val="FootnoteReference"/>
          <w:rFonts w:ascii="Tahoma" w:hAnsi="Tahoma" w:cs="Tahoma"/>
          <w:sz w:val="18"/>
          <w:szCs w:val="18"/>
        </w:rPr>
        <w:footnoteRef/>
      </w:r>
      <w:r w:rsidRPr="00FA3E29">
        <w:rPr>
          <w:rFonts w:ascii="Tahoma" w:hAnsi="Tahoma" w:cs="Tahoma"/>
          <w:sz w:val="18"/>
          <w:szCs w:val="18"/>
        </w:rPr>
        <w:t xml:space="preserve"> </w:t>
      </w:r>
      <w:r>
        <w:rPr>
          <w:rFonts w:ascii="Tahoma" w:hAnsi="Tahoma" w:cs="Tahoma"/>
          <w:sz w:val="18"/>
          <w:szCs w:val="18"/>
          <w:lang w:val="sr-Cyrl-RS"/>
        </w:rPr>
        <w:t>Информација добијена од начелника одељења за друштвене делатности у августу 2022. године</w:t>
      </w:r>
    </w:p>
  </w:footnote>
  <w:footnote w:id="14">
    <w:p w14:paraId="562CFFE2" w14:textId="67A3C8A9" w:rsidR="00DA2B74" w:rsidRPr="00F473D7" w:rsidRDefault="00DA2B74" w:rsidP="00DA2B74">
      <w:pPr>
        <w:pStyle w:val="NormalWeb"/>
        <w:spacing w:before="0" w:beforeAutospacing="0" w:after="0" w:afterAutospacing="0"/>
        <w:jc w:val="both"/>
        <w:rPr>
          <w:rFonts w:ascii="Tahoma" w:eastAsia="Times New Roman" w:hAnsi="Tahoma" w:cs="Tahoma"/>
          <w:color w:val="000000" w:themeColor="text1"/>
          <w:sz w:val="18"/>
          <w:szCs w:val="18"/>
          <w:lang w:val="sr-Cyrl-RS" w:eastAsia="en-GB"/>
        </w:rPr>
      </w:pPr>
      <w:r w:rsidRPr="00F473D7">
        <w:rPr>
          <w:rStyle w:val="FootnoteReference"/>
          <w:rFonts w:ascii="Tahoma" w:hAnsi="Tahoma" w:cs="Tahoma"/>
          <w:sz w:val="18"/>
          <w:szCs w:val="18"/>
        </w:rPr>
        <w:footnoteRef/>
      </w:r>
      <w:r w:rsidRPr="00F473D7">
        <w:rPr>
          <w:rFonts w:ascii="Tahoma" w:eastAsia="Times New Roman" w:hAnsi="Tahoma" w:cs="Tahoma"/>
          <w:sz w:val="18"/>
          <w:szCs w:val="18"/>
          <w:lang w:val="sr-Cyrl-RS" w:eastAsia="en-GB"/>
        </w:rPr>
        <w:t xml:space="preserve"> Сви подаци о материјалној подршци у мандату ЈЛС су на основу истраживања Матковић Г., Страњаковић М. (2020), </w:t>
      </w:r>
      <w:r w:rsidR="00F473D7" w:rsidRPr="00F473D7">
        <w:rPr>
          <w:rFonts w:ascii="Tahoma" w:eastAsia="Times New Roman" w:hAnsi="Tahoma" w:cs="Tahoma"/>
          <w:sz w:val="18"/>
          <w:szCs w:val="18"/>
          <w:lang w:val="sr-Cyrl-RS" w:eastAsia="en-GB"/>
        </w:rPr>
        <w:t>„</w:t>
      </w:r>
      <w:r w:rsidRPr="00F473D7">
        <w:rPr>
          <w:rFonts w:ascii="Tahoma" w:eastAsia="Times New Roman" w:hAnsi="Tahoma" w:cs="Tahoma"/>
          <w:i/>
          <w:iCs/>
          <w:sz w:val="18"/>
          <w:szCs w:val="18"/>
          <w:lang w:val="sr-Cyrl-RS" w:eastAsia="en-GB"/>
        </w:rPr>
        <w:t>Мапирање услуга социјалне заштите и материјалне подршке у надлежности ЈЛС у Републици Србији</w:t>
      </w:r>
      <w:r w:rsidR="00F473D7" w:rsidRPr="00F473D7">
        <w:rPr>
          <w:rFonts w:ascii="Tahoma" w:eastAsia="Times New Roman" w:hAnsi="Tahoma" w:cs="Tahoma"/>
          <w:sz w:val="18"/>
          <w:szCs w:val="18"/>
          <w:lang w:val="sr-Cyrl-RS" w:eastAsia="en-GB"/>
        </w:rPr>
        <w:t>“</w:t>
      </w:r>
      <w:r w:rsidRPr="00F473D7">
        <w:rPr>
          <w:rFonts w:ascii="Tahoma" w:eastAsia="Times New Roman" w:hAnsi="Tahoma" w:cs="Tahoma"/>
          <w:sz w:val="18"/>
          <w:szCs w:val="18"/>
          <w:lang w:val="sr-Cyrl-RS" w:eastAsia="en-GB"/>
        </w:rPr>
        <w:t xml:space="preserve"> Београд: Тим за со</w:t>
      </w:r>
      <w:r w:rsidR="00AF33B9" w:rsidRPr="00F473D7">
        <w:rPr>
          <w:rFonts w:ascii="Tahoma" w:eastAsia="Times New Roman" w:hAnsi="Tahoma" w:cs="Tahoma"/>
          <w:sz w:val="18"/>
          <w:szCs w:val="18"/>
          <w:lang w:val="sr-Cyrl-RS" w:eastAsia="en-GB"/>
        </w:rPr>
        <w:t>цијално укључ</w:t>
      </w:r>
      <w:r w:rsidRPr="00F473D7">
        <w:rPr>
          <w:rFonts w:ascii="Tahoma" w:eastAsia="Times New Roman" w:hAnsi="Tahoma" w:cs="Tahoma"/>
          <w:sz w:val="18"/>
          <w:szCs w:val="18"/>
          <w:lang w:val="sr-Cyrl-RS" w:eastAsia="en-GB"/>
        </w:rPr>
        <w:t>ивање и смањење сирома</w:t>
      </w:r>
      <w:r w:rsidR="00F473D7" w:rsidRPr="00F473D7">
        <w:rPr>
          <w:rFonts w:ascii="Tahoma" w:eastAsia="Times New Roman" w:hAnsi="Tahoma" w:cs="Tahoma"/>
          <w:sz w:val="18"/>
          <w:szCs w:val="18"/>
          <w:lang w:val="sr-Cyrl-RS" w:eastAsia="en-GB"/>
        </w:rPr>
        <w:t>ш</w:t>
      </w:r>
      <w:r w:rsidRPr="00F473D7">
        <w:rPr>
          <w:rFonts w:ascii="Tahoma" w:eastAsia="Times New Roman" w:hAnsi="Tahoma" w:cs="Tahoma"/>
          <w:sz w:val="18"/>
          <w:szCs w:val="18"/>
          <w:lang w:val="sr-Cyrl-RS" w:eastAsia="en-GB"/>
        </w:rPr>
        <w:t>тва Владе Републике Србије.</w:t>
      </w:r>
    </w:p>
  </w:footnote>
  <w:footnote w:id="15">
    <w:p w14:paraId="50532673" w14:textId="77777777" w:rsidR="00544E32" w:rsidRPr="00E06CBD" w:rsidRDefault="00544E32" w:rsidP="00544E32">
      <w:pPr>
        <w:jc w:val="both"/>
        <w:rPr>
          <w:rFonts w:ascii="Tahoma" w:hAnsi="Tahoma" w:cs="Tahoma"/>
          <w:sz w:val="18"/>
          <w:szCs w:val="18"/>
        </w:rPr>
      </w:pPr>
      <w:r w:rsidRPr="00E06CBD">
        <w:rPr>
          <w:rStyle w:val="FootnoteReference"/>
          <w:rFonts w:ascii="Tahoma" w:hAnsi="Tahoma" w:cs="Tahoma"/>
          <w:sz w:val="18"/>
          <w:szCs w:val="18"/>
        </w:rPr>
        <w:footnoteRef/>
      </w:r>
      <w:r w:rsidRPr="00E06CBD">
        <w:rPr>
          <w:rFonts w:ascii="Tahoma" w:hAnsi="Tahoma" w:cs="Tahoma"/>
          <w:sz w:val="18"/>
          <w:szCs w:val="18"/>
        </w:rPr>
        <w:t xml:space="preserve"> </w:t>
      </w:r>
      <w:r w:rsidRPr="00E06CBD">
        <w:rPr>
          <w:rFonts w:ascii="Tahoma" w:hAnsi="Tahoma" w:cs="Tahoma"/>
          <w:sz w:val="18"/>
          <w:szCs w:val="18"/>
          <w:lang w:val="sr-Cyrl-RS"/>
        </w:rPr>
        <w:t xml:space="preserve">Према налазима истраживања на републичком нивоу су пре свега угрожени мушкарци стари 80 и више  година. Пенев Г. (2006). Самоубиства у Србији: и даље око европског просека. Демографски преглед, 22/2006.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E1B19"/>
    <w:multiLevelType w:val="multilevel"/>
    <w:tmpl w:val="9142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774EF0"/>
    <w:multiLevelType w:val="hybridMultilevel"/>
    <w:tmpl w:val="AFACFCBA"/>
    <w:lvl w:ilvl="0" w:tplc="9B72F50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911A5"/>
    <w:multiLevelType w:val="hybridMultilevel"/>
    <w:tmpl w:val="56B6D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47205"/>
    <w:multiLevelType w:val="multilevel"/>
    <w:tmpl w:val="2DBC076A"/>
    <w:lvl w:ilvl="0">
      <w:start w:val="1"/>
      <w:numFmt w:val="decimal"/>
      <w:lvlText w:val="%1."/>
      <w:lvlJc w:val="left"/>
      <w:pPr>
        <w:ind w:left="720" w:hanging="360"/>
      </w:pPr>
      <w:rPr>
        <w:rFonts w:asciiTheme="minorHAnsi" w:eastAsiaTheme="majorEastAsia" w:hAnsiTheme="minorHAnsi" w:cs="Times New Roman" w:hint="default"/>
      </w:rPr>
    </w:lvl>
    <w:lvl w:ilvl="1">
      <w:start w:val="1"/>
      <w:numFmt w:val="decimal"/>
      <w:isLgl/>
      <w:lvlText w:val="%1.%2."/>
      <w:lvlJc w:val="left"/>
      <w:pPr>
        <w:ind w:left="360" w:hanging="360"/>
      </w:pPr>
      <w:rPr>
        <w:rFonts w:asciiTheme="majorHAnsi" w:hAnsiTheme="majorHAnsi" w:cstheme="majorHAnsi" w:hint="default"/>
        <w:b w:val="0"/>
        <w:sz w:val="28"/>
        <w:szCs w:val="28"/>
      </w:rPr>
    </w:lvl>
    <w:lvl w:ilvl="2">
      <w:start w:val="1"/>
      <w:numFmt w:val="decimal"/>
      <w:isLgl/>
      <w:lvlText w:val="%1.%2.%3."/>
      <w:lvlJc w:val="left"/>
      <w:pPr>
        <w:ind w:left="1080" w:hanging="720"/>
      </w:pPr>
      <w:rPr>
        <w:rFonts w:asciiTheme="minorHAnsi" w:hAnsiTheme="minorHAnsi" w:cstheme="minorHAnsi"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4" w15:restartNumberingAfterBreak="0">
    <w:nsid w:val="2DF26210"/>
    <w:multiLevelType w:val="multilevel"/>
    <w:tmpl w:val="95B2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02250F"/>
    <w:multiLevelType w:val="hybridMultilevel"/>
    <w:tmpl w:val="C8341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774F2"/>
    <w:multiLevelType w:val="hybridMultilevel"/>
    <w:tmpl w:val="DAB875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1652C9"/>
    <w:multiLevelType w:val="hybridMultilevel"/>
    <w:tmpl w:val="4DA2D364"/>
    <w:lvl w:ilvl="0" w:tplc="3884A820">
      <w:start w:val="1"/>
      <w:numFmt w:val="bullet"/>
      <w:lvlText w:val=""/>
      <w:lvlJc w:val="left"/>
      <w:pPr>
        <w:ind w:left="360" w:hanging="360"/>
      </w:pPr>
      <w:rPr>
        <w:rFonts w:ascii="Symbol" w:hAnsi="Symbol" w:hint="default"/>
        <w:color w:val="2F549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E70C90"/>
    <w:multiLevelType w:val="hybridMultilevel"/>
    <w:tmpl w:val="3EF0D5CC"/>
    <w:lvl w:ilvl="0" w:tplc="E7A67CDA">
      <w:start w:val="202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355516"/>
    <w:multiLevelType w:val="hybridMultilevel"/>
    <w:tmpl w:val="BD4C8F44"/>
    <w:lvl w:ilvl="0" w:tplc="A5C288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463C35"/>
    <w:multiLevelType w:val="hybridMultilevel"/>
    <w:tmpl w:val="08284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7E3FF0"/>
    <w:multiLevelType w:val="hybridMultilevel"/>
    <w:tmpl w:val="39EC7298"/>
    <w:lvl w:ilvl="0" w:tplc="04090001">
      <w:start w:val="1"/>
      <w:numFmt w:val="bullet"/>
      <w:lvlText w:val=""/>
      <w:lvlJc w:val="left"/>
      <w:pPr>
        <w:ind w:left="717" w:hanging="360"/>
      </w:pPr>
      <w:rPr>
        <w:rFonts w:ascii="Symbol" w:hAnsi="Symbo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773F04B6"/>
    <w:multiLevelType w:val="hybridMultilevel"/>
    <w:tmpl w:val="EE96B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E85907"/>
    <w:multiLevelType w:val="hybridMultilevel"/>
    <w:tmpl w:val="31E8F8FE"/>
    <w:lvl w:ilvl="0" w:tplc="DA7EC692">
      <w:start w:val="1"/>
      <w:numFmt w:val="bullet"/>
      <w:lvlText w:val=""/>
      <w:lvlJc w:val="left"/>
      <w:pPr>
        <w:ind w:left="360" w:hanging="360"/>
      </w:pPr>
      <w:rPr>
        <w:rFonts w:ascii="Symbol" w:hAnsi="Symbol" w:hint="default"/>
        <w:color w:val="1F3864" w:themeColor="accent1"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DAD3376"/>
    <w:multiLevelType w:val="multilevel"/>
    <w:tmpl w:val="B4E2C7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360277746">
    <w:abstractNumId w:val="4"/>
  </w:num>
  <w:num w:numId="2" w16cid:durableId="1910965889">
    <w:abstractNumId w:val="3"/>
  </w:num>
  <w:num w:numId="3" w16cid:durableId="386491854">
    <w:abstractNumId w:val="1"/>
  </w:num>
  <w:num w:numId="4" w16cid:durableId="695741233">
    <w:abstractNumId w:val="8"/>
  </w:num>
  <w:num w:numId="5" w16cid:durableId="741559184">
    <w:abstractNumId w:val="0"/>
  </w:num>
  <w:num w:numId="6" w16cid:durableId="1137842904">
    <w:abstractNumId w:val="10"/>
  </w:num>
  <w:num w:numId="7" w16cid:durableId="458645277">
    <w:abstractNumId w:val="12"/>
  </w:num>
  <w:num w:numId="8" w16cid:durableId="1834448927">
    <w:abstractNumId w:val="5"/>
  </w:num>
  <w:num w:numId="9" w16cid:durableId="675426254">
    <w:abstractNumId w:val="2"/>
  </w:num>
  <w:num w:numId="10" w16cid:durableId="1275017789">
    <w:abstractNumId w:val="11"/>
  </w:num>
  <w:num w:numId="11" w16cid:durableId="120270143">
    <w:abstractNumId w:val="7"/>
  </w:num>
  <w:num w:numId="12" w16cid:durableId="210851042">
    <w:abstractNumId w:val="13"/>
  </w:num>
  <w:num w:numId="13" w16cid:durableId="968439035">
    <w:abstractNumId w:val="9"/>
  </w:num>
  <w:num w:numId="14" w16cid:durableId="947196617">
    <w:abstractNumId w:val="14"/>
  </w:num>
  <w:num w:numId="15" w16cid:durableId="14327763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B51"/>
    <w:rsid w:val="000018C6"/>
    <w:rsid w:val="0001155B"/>
    <w:rsid w:val="00012F6F"/>
    <w:rsid w:val="00012FA3"/>
    <w:rsid w:val="0001364C"/>
    <w:rsid w:val="00014473"/>
    <w:rsid w:val="000205E6"/>
    <w:rsid w:val="000219F3"/>
    <w:rsid w:val="00025929"/>
    <w:rsid w:val="00027BF6"/>
    <w:rsid w:val="000314C8"/>
    <w:rsid w:val="000316BF"/>
    <w:rsid w:val="000337DA"/>
    <w:rsid w:val="00035072"/>
    <w:rsid w:val="00040796"/>
    <w:rsid w:val="00042AC4"/>
    <w:rsid w:val="00042AFD"/>
    <w:rsid w:val="00043570"/>
    <w:rsid w:val="00045210"/>
    <w:rsid w:val="00046FEA"/>
    <w:rsid w:val="00054367"/>
    <w:rsid w:val="00055A2D"/>
    <w:rsid w:val="00056865"/>
    <w:rsid w:val="0006087C"/>
    <w:rsid w:val="00060B63"/>
    <w:rsid w:val="00061988"/>
    <w:rsid w:val="000626C8"/>
    <w:rsid w:val="00067AEC"/>
    <w:rsid w:val="00070A38"/>
    <w:rsid w:val="000731FB"/>
    <w:rsid w:val="00075C1F"/>
    <w:rsid w:val="00076756"/>
    <w:rsid w:val="00076FAD"/>
    <w:rsid w:val="00080124"/>
    <w:rsid w:val="00081268"/>
    <w:rsid w:val="00083C93"/>
    <w:rsid w:val="000907B9"/>
    <w:rsid w:val="00093C22"/>
    <w:rsid w:val="000944BC"/>
    <w:rsid w:val="00097509"/>
    <w:rsid w:val="00097791"/>
    <w:rsid w:val="000A4616"/>
    <w:rsid w:val="000A5695"/>
    <w:rsid w:val="000A70BD"/>
    <w:rsid w:val="000B0BE7"/>
    <w:rsid w:val="000B17C6"/>
    <w:rsid w:val="000B29E2"/>
    <w:rsid w:val="000B5E80"/>
    <w:rsid w:val="000B6E3A"/>
    <w:rsid w:val="000C2843"/>
    <w:rsid w:val="000C593E"/>
    <w:rsid w:val="000C5ACA"/>
    <w:rsid w:val="000C7BBF"/>
    <w:rsid w:val="000D07B6"/>
    <w:rsid w:val="000D2A97"/>
    <w:rsid w:val="000D3CFF"/>
    <w:rsid w:val="000D4109"/>
    <w:rsid w:val="000D448D"/>
    <w:rsid w:val="000D4A8D"/>
    <w:rsid w:val="000D5124"/>
    <w:rsid w:val="000D6525"/>
    <w:rsid w:val="000D7FC3"/>
    <w:rsid w:val="000E0228"/>
    <w:rsid w:val="000E0B2D"/>
    <w:rsid w:val="000E1BD7"/>
    <w:rsid w:val="000E1EB7"/>
    <w:rsid w:val="000F1FEA"/>
    <w:rsid w:val="000F28CC"/>
    <w:rsid w:val="000F3F67"/>
    <w:rsid w:val="000F7E88"/>
    <w:rsid w:val="00103DDA"/>
    <w:rsid w:val="00105CE7"/>
    <w:rsid w:val="001108FC"/>
    <w:rsid w:val="001170BE"/>
    <w:rsid w:val="00120789"/>
    <w:rsid w:val="00126170"/>
    <w:rsid w:val="00126974"/>
    <w:rsid w:val="00127730"/>
    <w:rsid w:val="00130D5A"/>
    <w:rsid w:val="00131E46"/>
    <w:rsid w:val="001326FD"/>
    <w:rsid w:val="00136909"/>
    <w:rsid w:val="001370A4"/>
    <w:rsid w:val="00142341"/>
    <w:rsid w:val="001463C8"/>
    <w:rsid w:val="00146DC9"/>
    <w:rsid w:val="00147D10"/>
    <w:rsid w:val="00147EC7"/>
    <w:rsid w:val="001539D1"/>
    <w:rsid w:val="00154516"/>
    <w:rsid w:val="001552C0"/>
    <w:rsid w:val="00155366"/>
    <w:rsid w:val="00161EED"/>
    <w:rsid w:val="001631AC"/>
    <w:rsid w:val="00165891"/>
    <w:rsid w:val="00166146"/>
    <w:rsid w:val="00167DCA"/>
    <w:rsid w:val="00170BDA"/>
    <w:rsid w:val="00171A39"/>
    <w:rsid w:val="00172E6A"/>
    <w:rsid w:val="00173CAD"/>
    <w:rsid w:val="001765C9"/>
    <w:rsid w:val="00181BF4"/>
    <w:rsid w:val="00184744"/>
    <w:rsid w:val="001847D3"/>
    <w:rsid w:val="001856A3"/>
    <w:rsid w:val="00185787"/>
    <w:rsid w:val="00185D7E"/>
    <w:rsid w:val="001868CE"/>
    <w:rsid w:val="00187A7F"/>
    <w:rsid w:val="00191804"/>
    <w:rsid w:val="00191FB4"/>
    <w:rsid w:val="001920BD"/>
    <w:rsid w:val="00195562"/>
    <w:rsid w:val="00197944"/>
    <w:rsid w:val="001A0A3A"/>
    <w:rsid w:val="001A1D22"/>
    <w:rsid w:val="001A25A2"/>
    <w:rsid w:val="001A32FB"/>
    <w:rsid w:val="001A5582"/>
    <w:rsid w:val="001A7B9D"/>
    <w:rsid w:val="001A7EE3"/>
    <w:rsid w:val="001B0A10"/>
    <w:rsid w:val="001B32A6"/>
    <w:rsid w:val="001B5027"/>
    <w:rsid w:val="001B54B9"/>
    <w:rsid w:val="001B55E6"/>
    <w:rsid w:val="001B6251"/>
    <w:rsid w:val="001B6368"/>
    <w:rsid w:val="001C46B2"/>
    <w:rsid w:val="001D0E64"/>
    <w:rsid w:val="001D1170"/>
    <w:rsid w:val="001D133C"/>
    <w:rsid w:val="001D325D"/>
    <w:rsid w:val="001D4570"/>
    <w:rsid w:val="001D5394"/>
    <w:rsid w:val="001D771D"/>
    <w:rsid w:val="001E0E87"/>
    <w:rsid w:val="001E4296"/>
    <w:rsid w:val="001E6657"/>
    <w:rsid w:val="001F449D"/>
    <w:rsid w:val="001F4AD3"/>
    <w:rsid w:val="00200F78"/>
    <w:rsid w:val="00201A71"/>
    <w:rsid w:val="00202A4D"/>
    <w:rsid w:val="00202D17"/>
    <w:rsid w:val="002033F9"/>
    <w:rsid w:val="0020513A"/>
    <w:rsid w:val="002053CC"/>
    <w:rsid w:val="0020560A"/>
    <w:rsid w:val="002064B2"/>
    <w:rsid w:val="00207EE4"/>
    <w:rsid w:val="00210A79"/>
    <w:rsid w:val="00211287"/>
    <w:rsid w:val="0021266A"/>
    <w:rsid w:val="00213D54"/>
    <w:rsid w:val="00214FB6"/>
    <w:rsid w:val="00215A79"/>
    <w:rsid w:val="00216D66"/>
    <w:rsid w:val="00217E71"/>
    <w:rsid w:val="00221ADB"/>
    <w:rsid w:val="002234F4"/>
    <w:rsid w:val="0022391A"/>
    <w:rsid w:val="0022396D"/>
    <w:rsid w:val="00224DF8"/>
    <w:rsid w:val="0022524C"/>
    <w:rsid w:val="00226C38"/>
    <w:rsid w:val="00227CF7"/>
    <w:rsid w:val="00232105"/>
    <w:rsid w:val="00233516"/>
    <w:rsid w:val="00233B7E"/>
    <w:rsid w:val="002343A1"/>
    <w:rsid w:val="00234918"/>
    <w:rsid w:val="00234C72"/>
    <w:rsid w:val="00234F9E"/>
    <w:rsid w:val="0024018E"/>
    <w:rsid w:val="00241EC4"/>
    <w:rsid w:val="00242040"/>
    <w:rsid w:val="002456F8"/>
    <w:rsid w:val="00251DB5"/>
    <w:rsid w:val="0025247C"/>
    <w:rsid w:val="002538AC"/>
    <w:rsid w:val="00254054"/>
    <w:rsid w:val="0025539A"/>
    <w:rsid w:val="002574E5"/>
    <w:rsid w:val="00260239"/>
    <w:rsid w:val="00262C0D"/>
    <w:rsid w:val="002675D9"/>
    <w:rsid w:val="002676CA"/>
    <w:rsid w:val="00270444"/>
    <w:rsid w:val="00270737"/>
    <w:rsid w:val="002717B5"/>
    <w:rsid w:val="00273A1E"/>
    <w:rsid w:val="002753A9"/>
    <w:rsid w:val="0027547A"/>
    <w:rsid w:val="002754EF"/>
    <w:rsid w:val="002759C0"/>
    <w:rsid w:val="002772CA"/>
    <w:rsid w:val="002772DD"/>
    <w:rsid w:val="00281AB5"/>
    <w:rsid w:val="00282DA3"/>
    <w:rsid w:val="00284BED"/>
    <w:rsid w:val="0028540B"/>
    <w:rsid w:val="00287553"/>
    <w:rsid w:val="00291122"/>
    <w:rsid w:val="00293C84"/>
    <w:rsid w:val="002A17C7"/>
    <w:rsid w:val="002A1A31"/>
    <w:rsid w:val="002A1A33"/>
    <w:rsid w:val="002A47C7"/>
    <w:rsid w:val="002B370E"/>
    <w:rsid w:val="002B609A"/>
    <w:rsid w:val="002B7FD2"/>
    <w:rsid w:val="002C2BDB"/>
    <w:rsid w:val="002C3173"/>
    <w:rsid w:val="002C5B82"/>
    <w:rsid w:val="002C705C"/>
    <w:rsid w:val="002C7197"/>
    <w:rsid w:val="002C7E91"/>
    <w:rsid w:val="002D18BE"/>
    <w:rsid w:val="002D2DF7"/>
    <w:rsid w:val="002D364D"/>
    <w:rsid w:val="002D39B7"/>
    <w:rsid w:val="002D4215"/>
    <w:rsid w:val="002D73AC"/>
    <w:rsid w:val="002D7A87"/>
    <w:rsid w:val="002E14EB"/>
    <w:rsid w:val="002E29CF"/>
    <w:rsid w:val="002E2E41"/>
    <w:rsid w:val="002E4087"/>
    <w:rsid w:val="002E4D78"/>
    <w:rsid w:val="002E6013"/>
    <w:rsid w:val="002F419E"/>
    <w:rsid w:val="002F45FB"/>
    <w:rsid w:val="002F6B08"/>
    <w:rsid w:val="002F7CB2"/>
    <w:rsid w:val="00301A3D"/>
    <w:rsid w:val="00304E37"/>
    <w:rsid w:val="00305346"/>
    <w:rsid w:val="00305DAC"/>
    <w:rsid w:val="0030697C"/>
    <w:rsid w:val="00306F1E"/>
    <w:rsid w:val="003107BB"/>
    <w:rsid w:val="00310A6F"/>
    <w:rsid w:val="00312127"/>
    <w:rsid w:val="003136A5"/>
    <w:rsid w:val="00315889"/>
    <w:rsid w:val="00317959"/>
    <w:rsid w:val="0032167C"/>
    <w:rsid w:val="00323E98"/>
    <w:rsid w:val="0032703C"/>
    <w:rsid w:val="00327A71"/>
    <w:rsid w:val="00332221"/>
    <w:rsid w:val="003337AD"/>
    <w:rsid w:val="00334C3D"/>
    <w:rsid w:val="00340E1F"/>
    <w:rsid w:val="00342097"/>
    <w:rsid w:val="003421DD"/>
    <w:rsid w:val="003427E2"/>
    <w:rsid w:val="0034375C"/>
    <w:rsid w:val="00350777"/>
    <w:rsid w:val="00356A26"/>
    <w:rsid w:val="00357A41"/>
    <w:rsid w:val="00361B98"/>
    <w:rsid w:val="003620FA"/>
    <w:rsid w:val="00363424"/>
    <w:rsid w:val="0036401D"/>
    <w:rsid w:val="003651EB"/>
    <w:rsid w:val="003652F4"/>
    <w:rsid w:val="0036548A"/>
    <w:rsid w:val="00366C9F"/>
    <w:rsid w:val="003700BE"/>
    <w:rsid w:val="003720FD"/>
    <w:rsid w:val="0037405D"/>
    <w:rsid w:val="00374361"/>
    <w:rsid w:val="00382579"/>
    <w:rsid w:val="00393CFF"/>
    <w:rsid w:val="003941DA"/>
    <w:rsid w:val="0039479D"/>
    <w:rsid w:val="00395DF2"/>
    <w:rsid w:val="00397B8D"/>
    <w:rsid w:val="003A1603"/>
    <w:rsid w:val="003A1BEA"/>
    <w:rsid w:val="003A22AB"/>
    <w:rsid w:val="003B1F86"/>
    <w:rsid w:val="003B21C1"/>
    <w:rsid w:val="003B2BB4"/>
    <w:rsid w:val="003B554E"/>
    <w:rsid w:val="003B5E4C"/>
    <w:rsid w:val="003C0260"/>
    <w:rsid w:val="003C0C4A"/>
    <w:rsid w:val="003C3111"/>
    <w:rsid w:val="003C3715"/>
    <w:rsid w:val="003C5A9B"/>
    <w:rsid w:val="003D046B"/>
    <w:rsid w:val="003D10A8"/>
    <w:rsid w:val="003D1E99"/>
    <w:rsid w:val="003D1FB3"/>
    <w:rsid w:val="003D350D"/>
    <w:rsid w:val="003D39D1"/>
    <w:rsid w:val="003D44FA"/>
    <w:rsid w:val="003D4C05"/>
    <w:rsid w:val="003D618E"/>
    <w:rsid w:val="003D63B1"/>
    <w:rsid w:val="003D6F22"/>
    <w:rsid w:val="003D7644"/>
    <w:rsid w:val="003D7696"/>
    <w:rsid w:val="003D7D2A"/>
    <w:rsid w:val="003E07A0"/>
    <w:rsid w:val="003E30B2"/>
    <w:rsid w:val="003E3A10"/>
    <w:rsid w:val="003E4598"/>
    <w:rsid w:val="003F4ED2"/>
    <w:rsid w:val="0040297C"/>
    <w:rsid w:val="00402C79"/>
    <w:rsid w:val="0040357D"/>
    <w:rsid w:val="004056AA"/>
    <w:rsid w:val="00407B00"/>
    <w:rsid w:val="004105EF"/>
    <w:rsid w:val="00411E6C"/>
    <w:rsid w:val="00412F71"/>
    <w:rsid w:val="004141FB"/>
    <w:rsid w:val="00415C54"/>
    <w:rsid w:val="00417245"/>
    <w:rsid w:val="00422615"/>
    <w:rsid w:val="00422CDC"/>
    <w:rsid w:val="004238D2"/>
    <w:rsid w:val="0042736F"/>
    <w:rsid w:val="00431DAF"/>
    <w:rsid w:val="00433530"/>
    <w:rsid w:val="00445A71"/>
    <w:rsid w:val="00450456"/>
    <w:rsid w:val="00450489"/>
    <w:rsid w:val="004545B7"/>
    <w:rsid w:val="004552C9"/>
    <w:rsid w:val="00455B1B"/>
    <w:rsid w:val="004565DD"/>
    <w:rsid w:val="00456D00"/>
    <w:rsid w:val="00462943"/>
    <w:rsid w:val="004655BE"/>
    <w:rsid w:val="00471B35"/>
    <w:rsid w:val="00471DBE"/>
    <w:rsid w:val="00473F7D"/>
    <w:rsid w:val="00474168"/>
    <w:rsid w:val="00476098"/>
    <w:rsid w:val="00476A2F"/>
    <w:rsid w:val="00485804"/>
    <w:rsid w:val="004943DC"/>
    <w:rsid w:val="00494602"/>
    <w:rsid w:val="00497452"/>
    <w:rsid w:val="004A1805"/>
    <w:rsid w:val="004A1DF6"/>
    <w:rsid w:val="004A1ED8"/>
    <w:rsid w:val="004A3DB2"/>
    <w:rsid w:val="004A41FD"/>
    <w:rsid w:val="004A4796"/>
    <w:rsid w:val="004A4C48"/>
    <w:rsid w:val="004A6FB2"/>
    <w:rsid w:val="004A70A7"/>
    <w:rsid w:val="004A77CA"/>
    <w:rsid w:val="004B1195"/>
    <w:rsid w:val="004B1E31"/>
    <w:rsid w:val="004B42BF"/>
    <w:rsid w:val="004B6BDF"/>
    <w:rsid w:val="004C13C5"/>
    <w:rsid w:val="004C2684"/>
    <w:rsid w:val="004C4D98"/>
    <w:rsid w:val="004C68F9"/>
    <w:rsid w:val="004C704F"/>
    <w:rsid w:val="004D1164"/>
    <w:rsid w:val="004D378F"/>
    <w:rsid w:val="004D4EB8"/>
    <w:rsid w:val="004D7CA9"/>
    <w:rsid w:val="004E246A"/>
    <w:rsid w:val="004E3A75"/>
    <w:rsid w:val="004E511A"/>
    <w:rsid w:val="004E625F"/>
    <w:rsid w:val="004E6A84"/>
    <w:rsid w:val="004E6DAC"/>
    <w:rsid w:val="004E7A09"/>
    <w:rsid w:val="004E7A5D"/>
    <w:rsid w:val="004F0947"/>
    <w:rsid w:val="004F1119"/>
    <w:rsid w:val="004F15C1"/>
    <w:rsid w:val="004F22E3"/>
    <w:rsid w:val="004F315A"/>
    <w:rsid w:val="004F5F97"/>
    <w:rsid w:val="004F7FAD"/>
    <w:rsid w:val="0050706B"/>
    <w:rsid w:val="00510422"/>
    <w:rsid w:val="005130CD"/>
    <w:rsid w:val="00513272"/>
    <w:rsid w:val="00515957"/>
    <w:rsid w:val="00515CE8"/>
    <w:rsid w:val="00516C99"/>
    <w:rsid w:val="0052060B"/>
    <w:rsid w:val="005234E7"/>
    <w:rsid w:val="005259DD"/>
    <w:rsid w:val="005338F3"/>
    <w:rsid w:val="00534BBE"/>
    <w:rsid w:val="00536EB6"/>
    <w:rsid w:val="00536FB8"/>
    <w:rsid w:val="00541E95"/>
    <w:rsid w:val="00542FCC"/>
    <w:rsid w:val="00543D97"/>
    <w:rsid w:val="00544E32"/>
    <w:rsid w:val="005515D2"/>
    <w:rsid w:val="00551F6C"/>
    <w:rsid w:val="0055333E"/>
    <w:rsid w:val="005533BC"/>
    <w:rsid w:val="00557B9C"/>
    <w:rsid w:val="005614C3"/>
    <w:rsid w:val="00562899"/>
    <w:rsid w:val="00565DB5"/>
    <w:rsid w:val="005669DC"/>
    <w:rsid w:val="005673CF"/>
    <w:rsid w:val="00570032"/>
    <w:rsid w:val="005720D1"/>
    <w:rsid w:val="0058091E"/>
    <w:rsid w:val="00582E2E"/>
    <w:rsid w:val="0058419E"/>
    <w:rsid w:val="00587AB6"/>
    <w:rsid w:val="00590158"/>
    <w:rsid w:val="005918EB"/>
    <w:rsid w:val="005937F3"/>
    <w:rsid w:val="00596220"/>
    <w:rsid w:val="005A14EC"/>
    <w:rsid w:val="005A1A9F"/>
    <w:rsid w:val="005A1B51"/>
    <w:rsid w:val="005A223E"/>
    <w:rsid w:val="005A4A6E"/>
    <w:rsid w:val="005A5C4B"/>
    <w:rsid w:val="005A6A8D"/>
    <w:rsid w:val="005A70A3"/>
    <w:rsid w:val="005A7CBC"/>
    <w:rsid w:val="005B0345"/>
    <w:rsid w:val="005B3F74"/>
    <w:rsid w:val="005B7810"/>
    <w:rsid w:val="005C06F2"/>
    <w:rsid w:val="005C1C3C"/>
    <w:rsid w:val="005C4892"/>
    <w:rsid w:val="005C5A60"/>
    <w:rsid w:val="005C5B65"/>
    <w:rsid w:val="005C630C"/>
    <w:rsid w:val="005C7B50"/>
    <w:rsid w:val="005D0142"/>
    <w:rsid w:val="005D0354"/>
    <w:rsid w:val="005D0E74"/>
    <w:rsid w:val="005D4B59"/>
    <w:rsid w:val="005D5AEB"/>
    <w:rsid w:val="005D6422"/>
    <w:rsid w:val="005E0592"/>
    <w:rsid w:val="005E2528"/>
    <w:rsid w:val="005E351C"/>
    <w:rsid w:val="005E3F4F"/>
    <w:rsid w:val="005E42E9"/>
    <w:rsid w:val="005E6E1F"/>
    <w:rsid w:val="005F3037"/>
    <w:rsid w:val="005F3057"/>
    <w:rsid w:val="005F5105"/>
    <w:rsid w:val="005F6EB8"/>
    <w:rsid w:val="005F6F27"/>
    <w:rsid w:val="00600BB8"/>
    <w:rsid w:val="00602A9E"/>
    <w:rsid w:val="00603583"/>
    <w:rsid w:val="0060574A"/>
    <w:rsid w:val="0060731C"/>
    <w:rsid w:val="0061034E"/>
    <w:rsid w:val="00613952"/>
    <w:rsid w:val="00616550"/>
    <w:rsid w:val="006221CC"/>
    <w:rsid w:val="0062222D"/>
    <w:rsid w:val="00624F99"/>
    <w:rsid w:val="006258D1"/>
    <w:rsid w:val="00627494"/>
    <w:rsid w:val="006300F5"/>
    <w:rsid w:val="00630D98"/>
    <w:rsid w:val="0063108A"/>
    <w:rsid w:val="00631465"/>
    <w:rsid w:val="0063169A"/>
    <w:rsid w:val="00632251"/>
    <w:rsid w:val="00632719"/>
    <w:rsid w:val="00637A01"/>
    <w:rsid w:val="00647D00"/>
    <w:rsid w:val="00647F50"/>
    <w:rsid w:val="00650E50"/>
    <w:rsid w:val="00652817"/>
    <w:rsid w:val="00654ECE"/>
    <w:rsid w:val="006550BC"/>
    <w:rsid w:val="00655F9E"/>
    <w:rsid w:val="00657785"/>
    <w:rsid w:val="006631A7"/>
    <w:rsid w:val="00665FB0"/>
    <w:rsid w:val="00667B9E"/>
    <w:rsid w:val="00667E15"/>
    <w:rsid w:val="00670738"/>
    <w:rsid w:val="006713B7"/>
    <w:rsid w:val="00675EF5"/>
    <w:rsid w:val="0068409D"/>
    <w:rsid w:val="00697D03"/>
    <w:rsid w:val="006A103B"/>
    <w:rsid w:val="006A5CCF"/>
    <w:rsid w:val="006A608C"/>
    <w:rsid w:val="006B2B57"/>
    <w:rsid w:val="006B3B26"/>
    <w:rsid w:val="006B4EB1"/>
    <w:rsid w:val="006B59D0"/>
    <w:rsid w:val="006B69AE"/>
    <w:rsid w:val="006B6EE7"/>
    <w:rsid w:val="006C399F"/>
    <w:rsid w:val="006C493E"/>
    <w:rsid w:val="006C6B32"/>
    <w:rsid w:val="006D1DFE"/>
    <w:rsid w:val="006D547E"/>
    <w:rsid w:val="006D5DD5"/>
    <w:rsid w:val="006E0167"/>
    <w:rsid w:val="006E2742"/>
    <w:rsid w:val="006E780A"/>
    <w:rsid w:val="006F0AE6"/>
    <w:rsid w:val="006F201B"/>
    <w:rsid w:val="006F2345"/>
    <w:rsid w:val="006F3409"/>
    <w:rsid w:val="006F4BD2"/>
    <w:rsid w:val="006F4FA7"/>
    <w:rsid w:val="006F6524"/>
    <w:rsid w:val="006F6D63"/>
    <w:rsid w:val="00702522"/>
    <w:rsid w:val="0070370C"/>
    <w:rsid w:val="00706CA3"/>
    <w:rsid w:val="007101AB"/>
    <w:rsid w:val="007129D0"/>
    <w:rsid w:val="00712F5F"/>
    <w:rsid w:val="007130AA"/>
    <w:rsid w:val="0071419C"/>
    <w:rsid w:val="00714682"/>
    <w:rsid w:val="00714BD4"/>
    <w:rsid w:val="00717988"/>
    <w:rsid w:val="00722D3B"/>
    <w:rsid w:val="007239BE"/>
    <w:rsid w:val="00723CBE"/>
    <w:rsid w:val="00730768"/>
    <w:rsid w:val="007327A7"/>
    <w:rsid w:val="0073290E"/>
    <w:rsid w:val="007331E6"/>
    <w:rsid w:val="007355D7"/>
    <w:rsid w:val="00735FB6"/>
    <w:rsid w:val="00736A47"/>
    <w:rsid w:val="00736B96"/>
    <w:rsid w:val="00742164"/>
    <w:rsid w:val="00742684"/>
    <w:rsid w:val="00744098"/>
    <w:rsid w:val="00744D73"/>
    <w:rsid w:val="00744D76"/>
    <w:rsid w:val="00745A09"/>
    <w:rsid w:val="00750BCF"/>
    <w:rsid w:val="007516EA"/>
    <w:rsid w:val="00752006"/>
    <w:rsid w:val="00754239"/>
    <w:rsid w:val="007556F0"/>
    <w:rsid w:val="00756357"/>
    <w:rsid w:val="007567B6"/>
    <w:rsid w:val="00757A1B"/>
    <w:rsid w:val="007649F5"/>
    <w:rsid w:val="0076505B"/>
    <w:rsid w:val="00767422"/>
    <w:rsid w:val="00777BD0"/>
    <w:rsid w:val="007803FC"/>
    <w:rsid w:val="00780C52"/>
    <w:rsid w:val="00780DA6"/>
    <w:rsid w:val="007818C9"/>
    <w:rsid w:val="00782202"/>
    <w:rsid w:val="00782AE0"/>
    <w:rsid w:val="007830B5"/>
    <w:rsid w:val="00784741"/>
    <w:rsid w:val="00786439"/>
    <w:rsid w:val="00786AC5"/>
    <w:rsid w:val="00787972"/>
    <w:rsid w:val="0079047A"/>
    <w:rsid w:val="00791961"/>
    <w:rsid w:val="00792299"/>
    <w:rsid w:val="007928BB"/>
    <w:rsid w:val="0079403D"/>
    <w:rsid w:val="00794AC6"/>
    <w:rsid w:val="00795818"/>
    <w:rsid w:val="00795DE4"/>
    <w:rsid w:val="0079740C"/>
    <w:rsid w:val="007A59D7"/>
    <w:rsid w:val="007A7EE7"/>
    <w:rsid w:val="007B182B"/>
    <w:rsid w:val="007B3070"/>
    <w:rsid w:val="007B34F2"/>
    <w:rsid w:val="007B3AE5"/>
    <w:rsid w:val="007B4217"/>
    <w:rsid w:val="007B5B8D"/>
    <w:rsid w:val="007C04F6"/>
    <w:rsid w:val="007C1252"/>
    <w:rsid w:val="007D0C0A"/>
    <w:rsid w:val="007D1A31"/>
    <w:rsid w:val="007D20B5"/>
    <w:rsid w:val="007D36FD"/>
    <w:rsid w:val="007D416A"/>
    <w:rsid w:val="007D725B"/>
    <w:rsid w:val="007D7905"/>
    <w:rsid w:val="007D7C37"/>
    <w:rsid w:val="007E5641"/>
    <w:rsid w:val="007E6771"/>
    <w:rsid w:val="007E7531"/>
    <w:rsid w:val="007E79E1"/>
    <w:rsid w:val="007F13C6"/>
    <w:rsid w:val="007F201F"/>
    <w:rsid w:val="007F2C4C"/>
    <w:rsid w:val="007F3E89"/>
    <w:rsid w:val="007F4DE4"/>
    <w:rsid w:val="007F5405"/>
    <w:rsid w:val="007F56FD"/>
    <w:rsid w:val="007F77D1"/>
    <w:rsid w:val="00800B86"/>
    <w:rsid w:val="00800F9C"/>
    <w:rsid w:val="008046A9"/>
    <w:rsid w:val="00804BE6"/>
    <w:rsid w:val="00805B67"/>
    <w:rsid w:val="00807129"/>
    <w:rsid w:val="00807F2B"/>
    <w:rsid w:val="008114DA"/>
    <w:rsid w:val="008140DA"/>
    <w:rsid w:val="008160B0"/>
    <w:rsid w:val="00817D6D"/>
    <w:rsid w:val="00825AA5"/>
    <w:rsid w:val="008262E3"/>
    <w:rsid w:val="00826D02"/>
    <w:rsid w:val="008270F6"/>
    <w:rsid w:val="00827786"/>
    <w:rsid w:val="00830A3C"/>
    <w:rsid w:val="00830AC9"/>
    <w:rsid w:val="00831D45"/>
    <w:rsid w:val="008340AB"/>
    <w:rsid w:val="00835DBA"/>
    <w:rsid w:val="00835F50"/>
    <w:rsid w:val="00843329"/>
    <w:rsid w:val="0084514C"/>
    <w:rsid w:val="00847DBE"/>
    <w:rsid w:val="00853ED5"/>
    <w:rsid w:val="0085791F"/>
    <w:rsid w:val="0086139A"/>
    <w:rsid w:val="00861E5F"/>
    <w:rsid w:val="00862C7A"/>
    <w:rsid w:val="00863FDB"/>
    <w:rsid w:val="00864DE9"/>
    <w:rsid w:val="00867820"/>
    <w:rsid w:val="008716D6"/>
    <w:rsid w:val="008730FA"/>
    <w:rsid w:val="00873A0B"/>
    <w:rsid w:val="008742E3"/>
    <w:rsid w:val="0088071E"/>
    <w:rsid w:val="00880E06"/>
    <w:rsid w:val="00884CE6"/>
    <w:rsid w:val="008853A1"/>
    <w:rsid w:val="00886843"/>
    <w:rsid w:val="00891044"/>
    <w:rsid w:val="0089125C"/>
    <w:rsid w:val="00891793"/>
    <w:rsid w:val="00894B8C"/>
    <w:rsid w:val="00895297"/>
    <w:rsid w:val="0089644A"/>
    <w:rsid w:val="008A29C5"/>
    <w:rsid w:val="008A3BDD"/>
    <w:rsid w:val="008A50D2"/>
    <w:rsid w:val="008A7346"/>
    <w:rsid w:val="008A73B9"/>
    <w:rsid w:val="008A7D66"/>
    <w:rsid w:val="008B0F93"/>
    <w:rsid w:val="008B0FAB"/>
    <w:rsid w:val="008B12BF"/>
    <w:rsid w:val="008B2FDD"/>
    <w:rsid w:val="008B420C"/>
    <w:rsid w:val="008C26D3"/>
    <w:rsid w:val="008C43DB"/>
    <w:rsid w:val="008C592D"/>
    <w:rsid w:val="008D1A5B"/>
    <w:rsid w:val="008D205D"/>
    <w:rsid w:val="008D5DFF"/>
    <w:rsid w:val="008E0CA3"/>
    <w:rsid w:val="008E4DDB"/>
    <w:rsid w:val="008E724B"/>
    <w:rsid w:val="008E74F0"/>
    <w:rsid w:val="008E7973"/>
    <w:rsid w:val="008F02FF"/>
    <w:rsid w:val="008F0FFB"/>
    <w:rsid w:val="008F3DAD"/>
    <w:rsid w:val="008F4D7B"/>
    <w:rsid w:val="008F6345"/>
    <w:rsid w:val="008F7BBE"/>
    <w:rsid w:val="0090501B"/>
    <w:rsid w:val="00905167"/>
    <w:rsid w:val="00905694"/>
    <w:rsid w:val="00906A58"/>
    <w:rsid w:val="0091124A"/>
    <w:rsid w:val="00914749"/>
    <w:rsid w:val="009149AA"/>
    <w:rsid w:val="00920167"/>
    <w:rsid w:val="009217AB"/>
    <w:rsid w:val="00923BC4"/>
    <w:rsid w:val="00926A54"/>
    <w:rsid w:val="009271AB"/>
    <w:rsid w:val="00934B2F"/>
    <w:rsid w:val="0093690F"/>
    <w:rsid w:val="0093728D"/>
    <w:rsid w:val="009379A3"/>
    <w:rsid w:val="00940E0C"/>
    <w:rsid w:val="00942D06"/>
    <w:rsid w:val="0094519E"/>
    <w:rsid w:val="009475A7"/>
    <w:rsid w:val="00947A21"/>
    <w:rsid w:val="00947EC4"/>
    <w:rsid w:val="0095060E"/>
    <w:rsid w:val="009529D7"/>
    <w:rsid w:val="009559E9"/>
    <w:rsid w:val="00956CC1"/>
    <w:rsid w:val="0095737A"/>
    <w:rsid w:val="009615EE"/>
    <w:rsid w:val="009668FE"/>
    <w:rsid w:val="00971516"/>
    <w:rsid w:val="00972D92"/>
    <w:rsid w:val="00973973"/>
    <w:rsid w:val="00973D19"/>
    <w:rsid w:val="009762DD"/>
    <w:rsid w:val="00976A60"/>
    <w:rsid w:val="00976D8E"/>
    <w:rsid w:val="00977C98"/>
    <w:rsid w:val="00980526"/>
    <w:rsid w:val="009825A3"/>
    <w:rsid w:val="009873DB"/>
    <w:rsid w:val="00990B86"/>
    <w:rsid w:val="00993B3C"/>
    <w:rsid w:val="00996DD1"/>
    <w:rsid w:val="00996F91"/>
    <w:rsid w:val="009A0AA8"/>
    <w:rsid w:val="009A395E"/>
    <w:rsid w:val="009A5695"/>
    <w:rsid w:val="009A6158"/>
    <w:rsid w:val="009A7970"/>
    <w:rsid w:val="009B1D7B"/>
    <w:rsid w:val="009B5D1B"/>
    <w:rsid w:val="009B6C5E"/>
    <w:rsid w:val="009C1CD7"/>
    <w:rsid w:val="009C6E20"/>
    <w:rsid w:val="009D0904"/>
    <w:rsid w:val="009D1476"/>
    <w:rsid w:val="009D2330"/>
    <w:rsid w:val="009D5AD1"/>
    <w:rsid w:val="009E0B0C"/>
    <w:rsid w:val="009E1E01"/>
    <w:rsid w:val="009E4252"/>
    <w:rsid w:val="009E6A50"/>
    <w:rsid w:val="009E6BEA"/>
    <w:rsid w:val="009E7EB3"/>
    <w:rsid w:val="009F0C3F"/>
    <w:rsid w:val="009F52A5"/>
    <w:rsid w:val="009F6222"/>
    <w:rsid w:val="009F63D6"/>
    <w:rsid w:val="009F6B72"/>
    <w:rsid w:val="009F6DB9"/>
    <w:rsid w:val="00A00213"/>
    <w:rsid w:val="00A024D2"/>
    <w:rsid w:val="00A02B50"/>
    <w:rsid w:val="00A10090"/>
    <w:rsid w:val="00A123D1"/>
    <w:rsid w:val="00A14112"/>
    <w:rsid w:val="00A14885"/>
    <w:rsid w:val="00A15341"/>
    <w:rsid w:val="00A1660F"/>
    <w:rsid w:val="00A16ED1"/>
    <w:rsid w:val="00A17188"/>
    <w:rsid w:val="00A267AC"/>
    <w:rsid w:val="00A30BD5"/>
    <w:rsid w:val="00A30EBD"/>
    <w:rsid w:val="00A310FE"/>
    <w:rsid w:val="00A3185C"/>
    <w:rsid w:val="00A339A6"/>
    <w:rsid w:val="00A34689"/>
    <w:rsid w:val="00A4168D"/>
    <w:rsid w:val="00A43306"/>
    <w:rsid w:val="00A452D6"/>
    <w:rsid w:val="00A45622"/>
    <w:rsid w:val="00A469FE"/>
    <w:rsid w:val="00A46B29"/>
    <w:rsid w:val="00A50919"/>
    <w:rsid w:val="00A5118E"/>
    <w:rsid w:val="00A5127B"/>
    <w:rsid w:val="00A53F72"/>
    <w:rsid w:val="00A5563D"/>
    <w:rsid w:val="00A62C94"/>
    <w:rsid w:val="00A633D7"/>
    <w:rsid w:val="00A745AF"/>
    <w:rsid w:val="00A7631B"/>
    <w:rsid w:val="00A766CB"/>
    <w:rsid w:val="00A76EC4"/>
    <w:rsid w:val="00A776D9"/>
    <w:rsid w:val="00A82603"/>
    <w:rsid w:val="00A9242C"/>
    <w:rsid w:val="00A92DA0"/>
    <w:rsid w:val="00A93CD8"/>
    <w:rsid w:val="00A944F5"/>
    <w:rsid w:val="00A94BAC"/>
    <w:rsid w:val="00A96AB0"/>
    <w:rsid w:val="00A9747E"/>
    <w:rsid w:val="00AA0372"/>
    <w:rsid w:val="00AA1DF2"/>
    <w:rsid w:val="00AA3015"/>
    <w:rsid w:val="00AA7436"/>
    <w:rsid w:val="00AA78EB"/>
    <w:rsid w:val="00AB1F00"/>
    <w:rsid w:val="00AB40F0"/>
    <w:rsid w:val="00AB4336"/>
    <w:rsid w:val="00AB5860"/>
    <w:rsid w:val="00AB6735"/>
    <w:rsid w:val="00AC1039"/>
    <w:rsid w:val="00AC33D5"/>
    <w:rsid w:val="00AD1B36"/>
    <w:rsid w:val="00AD223F"/>
    <w:rsid w:val="00AD374D"/>
    <w:rsid w:val="00AD3825"/>
    <w:rsid w:val="00AD4742"/>
    <w:rsid w:val="00AD5535"/>
    <w:rsid w:val="00AD7C5A"/>
    <w:rsid w:val="00AE35B5"/>
    <w:rsid w:val="00AE7CE3"/>
    <w:rsid w:val="00AF33B9"/>
    <w:rsid w:val="00AF3B95"/>
    <w:rsid w:val="00AF40AE"/>
    <w:rsid w:val="00AF4F2A"/>
    <w:rsid w:val="00B02183"/>
    <w:rsid w:val="00B02F97"/>
    <w:rsid w:val="00B03126"/>
    <w:rsid w:val="00B036B0"/>
    <w:rsid w:val="00B04693"/>
    <w:rsid w:val="00B04715"/>
    <w:rsid w:val="00B07084"/>
    <w:rsid w:val="00B07861"/>
    <w:rsid w:val="00B14816"/>
    <w:rsid w:val="00B14D00"/>
    <w:rsid w:val="00B16053"/>
    <w:rsid w:val="00B21DF4"/>
    <w:rsid w:val="00B23EA6"/>
    <w:rsid w:val="00B26E97"/>
    <w:rsid w:val="00B26F9E"/>
    <w:rsid w:val="00B30B4D"/>
    <w:rsid w:val="00B30D61"/>
    <w:rsid w:val="00B323EC"/>
    <w:rsid w:val="00B32D01"/>
    <w:rsid w:val="00B32DB1"/>
    <w:rsid w:val="00B33030"/>
    <w:rsid w:val="00B33EC0"/>
    <w:rsid w:val="00B34325"/>
    <w:rsid w:val="00B34C5C"/>
    <w:rsid w:val="00B35B50"/>
    <w:rsid w:val="00B37EED"/>
    <w:rsid w:val="00B42813"/>
    <w:rsid w:val="00B42903"/>
    <w:rsid w:val="00B431D3"/>
    <w:rsid w:val="00B51343"/>
    <w:rsid w:val="00B548DF"/>
    <w:rsid w:val="00B57A10"/>
    <w:rsid w:val="00B67C18"/>
    <w:rsid w:val="00B70869"/>
    <w:rsid w:val="00B72EFD"/>
    <w:rsid w:val="00B74A96"/>
    <w:rsid w:val="00B74C83"/>
    <w:rsid w:val="00B76860"/>
    <w:rsid w:val="00B76FE3"/>
    <w:rsid w:val="00B77260"/>
    <w:rsid w:val="00B772D4"/>
    <w:rsid w:val="00B80EE0"/>
    <w:rsid w:val="00B819D8"/>
    <w:rsid w:val="00B82F6B"/>
    <w:rsid w:val="00B840D3"/>
    <w:rsid w:val="00B84897"/>
    <w:rsid w:val="00B9164A"/>
    <w:rsid w:val="00B91A7F"/>
    <w:rsid w:val="00B9356C"/>
    <w:rsid w:val="00B9588B"/>
    <w:rsid w:val="00B96B8D"/>
    <w:rsid w:val="00BA0DBC"/>
    <w:rsid w:val="00BA2399"/>
    <w:rsid w:val="00BA3474"/>
    <w:rsid w:val="00BB0B58"/>
    <w:rsid w:val="00BB29C8"/>
    <w:rsid w:val="00BB4D1F"/>
    <w:rsid w:val="00BB6956"/>
    <w:rsid w:val="00BC0001"/>
    <w:rsid w:val="00BC5330"/>
    <w:rsid w:val="00BC557C"/>
    <w:rsid w:val="00BD0AAB"/>
    <w:rsid w:val="00BD3CF3"/>
    <w:rsid w:val="00BD4691"/>
    <w:rsid w:val="00BE0587"/>
    <w:rsid w:val="00BE3C65"/>
    <w:rsid w:val="00BE3E4F"/>
    <w:rsid w:val="00BE3FE0"/>
    <w:rsid w:val="00BE4F15"/>
    <w:rsid w:val="00BE59CF"/>
    <w:rsid w:val="00BE5DC0"/>
    <w:rsid w:val="00BE5DC1"/>
    <w:rsid w:val="00BE5EC7"/>
    <w:rsid w:val="00BE6734"/>
    <w:rsid w:val="00BE7A26"/>
    <w:rsid w:val="00BE7EB0"/>
    <w:rsid w:val="00BE7FFB"/>
    <w:rsid w:val="00BF02C8"/>
    <w:rsid w:val="00BF0D8B"/>
    <w:rsid w:val="00BF2719"/>
    <w:rsid w:val="00BF2784"/>
    <w:rsid w:val="00BF3BDF"/>
    <w:rsid w:val="00BF401E"/>
    <w:rsid w:val="00C01FE0"/>
    <w:rsid w:val="00C02287"/>
    <w:rsid w:val="00C0247F"/>
    <w:rsid w:val="00C02E5C"/>
    <w:rsid w:val="00C03468"/>
    <w:rsid w:val="00C034CA"/>
    <w:rsid w:val="00C046C6"/>
    <w:rsid w:val="00C05602"/>
    <w:rsid w:val="00C07B5E"/>
    <w:rsid w:val="00C15B9A"/>
    <w:rsid w:val="00C17855"/>
    <w:rsid w:val="00C17C75"/>
    <w:rsid w:val="00C21201"/>
    <w:rsid w:val="00C249FB"/>
    <w:rsid w:val="00C2739F"/>
    <w:rsid w:val="00C2762C"/>
    <w:rsid w:val="00C30B8D"/>
    <w:rsid w:val="00C3219A"/>
    <w:rsid w:val="00C33E1F"/>
    <w:rsid w:val="00C35701"/>
    <w:rsid w:val="00C3762C"/>
    <w:rsid w:val="00C404BC"/>
    <w:rsid w:val="00C416A8"/>
    <w:rsid w:val="00C41C66"/>
    <w:rsid w:val="00C425E4"/>
    <w:rsid w:val="00C4263B"/>
    <w:rsid w:val="00C44775"/>
    <w:rsid w:val="00C45ED4"/>
    <w:rsid w:val="00C472A6"/>
    <w:rsid w:val="00C51E07"/>
    <w:rsid w:val="00C53FDF"/>
    <w:rsid w:val="00C55DB8"/>
    <w:rsid w:val="00C6020A"/>
    <w:rsid w:val="00C60CD6"/>
    <w:rsid w:val="00C6547E"/>
    <w:rsid w:val="00C703C7"/>
    <w:rsid w:val="00C71C36"/>
    <w:rsid w:val="00C71DA2"/>
    <w:rsid w:val="00C73BA6"/>
    <w:rsid w:val="00C745FA"/>
    <w:rsid w:val="00C8043F"/>
    <w:rsid w:val="00C84433"/>
    <w:rsid w:val="00C847D3"/>
    <w:rsid w:val="00C938DA"/>
    <w:rsid w:val="00CA1CE1"/>
    <w:rsid w:val="00CA5971"/>
    <w:rsid w:val="00CA650C"/>
    <w:rsid w:val="00CA71F6"/>
    <w:rsid w:val="00CA7250"/>
    <w:rsid w:val="00CA76D3"/>
    <w:rsid w:val="00CB27D9"/>
    <w:rsid w:val="00CB3644"/>
    <w:rsid w:val="00CC2EB2"/>
    <w:rsid w:val="00CC7B15"/>
    <w:rsid w:val="00CC7BCE"/>
    <w:rsid w:val="00CD234F"/>
    <w:rsid w:val="00CD2FA9"/>
    <w:rsid w:val="00CD578C"/>
    <w:rsid w:val="00CE1BB5"/>
    <w:rsid w:val="00CE1BD5"/>
    <w:rsid w:val="00CE2ACF"/>
    <w:rsid w:val="00CE2C7E"/>
    <w:rsid w:val="00CE4B7A"/>
    <w:rsid w:val="00CE53AE"/>
    <w:rsid w:val="00CE7B0D"/>
    <w:rsid w:val="00CF03A1"/>
    <w:rsid w:val="00CF213F"/>
    <w:rsid w:val="00CF606F"/>
    <w:rsid w:val="00CF7521"/>
    <w:rsid w:val="00CF7658"/>
    <w:rsid w:val="00D017F2"/>
    <w:rsid w:val="00D028A6"/>
    <w:rsid w:val="00D02EFF"/>
    <w:rsid w:val="00D03A8D"/>
    <w:rsid w:val="00D04E0A"/>
    <w:rsid w:val="00D04ED7"/>
    <w:rsid w:val="00D056CC"/>
    <w:rsid w:val="00D05992"/>
    <w:rsid w:val="00D05A88"/>
    <w:rsid w:val="00D066AF"/>
    <w:rsid w:val="00D06BDB"/>
    <w:rsid w:val="00D10267"/>
    <w:rsid w:val="00D127AA"/>
    <w:rsid w:val="00D13AC3"/>
    <w:rsid w:val="00D14731"/>
    <w:rsid w:val="00D154A1"/>
    <w:rsid w:val="00D208B6"/>
    <w:rsid w:val="00D23278"/>
    <w:rsid w:val="00D23E8C"/>
    <w:rsid w:val="00D25006"/>
    <w:rsid w:val="00D2621F"/>
    <w:rsid w:val="00D27EFD"/>
    <w:rsid w:val="00D31500"/>
    <w:rsid w:val="00D330CF"/>
    <w:rsid w:val="00D345D4"/>
    <w:rsid w:val="00D3494A"/>
    <w:rsid w:val="00D349EA"/>
    <w:rsid w:val="00D349F5"/>
    <w:rsid w:val="00D35D74"/>
    <w:rsid w:val="00D36025"/>
    <w:rsid w:val="00D3791F"/>
    <w:rsid w:val="00D401F5"/>
    <w:rsid w:val="00D40642"/>
    <w:rsid w:val="00D43DE8"/>
    <w:rsid w:val="00D44E9D"/>
    <w:rsid w:val="00D45A76"/>
    <w:rsid w:val="00D51685"/>
    <w:rsid w:val="00D60ED2"/>
    <w:rsid w:val="00D61489"/>
    <w:rsid w:val="00D620A6"/>
    <w:rsid w:val="00D62F1D"/>
    <w:rsid w:val="00D63261"/>
    <w:rsid w:val="00D64033"/>
    <w:rsid w:val="00D64667"/>
    <w:rsid w:val="00D65456"/>
    <w:rsid w:val="00D67336"/>
    <w:rsid w:val="00D71841"/>
    <w:rsid w:val="00D71E03"/>
    <w:rsid w:val="00D76EBC"/>
    <w:rsid w:val="00D80CEF"/>
    <w:rsid w:val="00D81528"/>
    <w:rsid w:val="00D825A4"/>
    <w:rsid w:val="00D83187"/>
    <w:rsid w:val="00D831E6"/>
    <w:rsid w:val="00D904DB"/>
    <w:rsid w:val="00D93428"/>
    <w:rsid w:val="00D952C5"/>
    <w:rsid w:val="00D96809"/>
    <w:rsid w:val="00D968E6"/>
    <w:rsid w:val="00DA2365"/>
    <w:rsid w:val="00DA2B74"/>
    <w:rsid w:val="00DA3B4A"/>
    <w:rsid w:val="00DA4A61"/>
    <w:rsid w:val="00DA52F5"/>
    <w:rsid w:val="00DA5559"/>
    <w:rsid w:val="00DA7A9E"/>
    <w:rsid w:val="00DB1594"/>
    <w:rsid w:val="00DB2545"/>
    <w:rsid w:val="00DB3EE2"/>
    <w:rsid w:val="00DB4E1F"/>
    <w:rsid w:val="00DB653D"/>
    <w:rsid w:val="00DC103F"/>
    <w:rsid w:val="00DC3601"/>
    <w:rsid w:val="00DC6091"/>
    <w:rsid w:val="00DC70C0"/>
    <w:rsid w:val="00DC7900"/>
    <w:rsid w:val="00DD0932"/>
    <w:rsid w:val="00DD0A64"/>
    <w:rsid w:val="00DD1046"/>
    <w:rsid w:val="00DD2352"/>
    <w:rsid w:val="00DD35D6"/>
    <w:rsid w:val="00DE092E"/>
    <w:rsid w:val="00DE1CF4"/>
    <w:rsid w:val="00DE3BCA"/>
    <w:rsid w:val="00DE4E77"/>
    <w:rsid w:val="00DE6103"/>
    <w:rsid w:val="00DF1BC9"/>
    <w:rsid w:val="00E01389"/>
    <w:rsid w:val="00E024C8"/>
    <w:rsid w:val="00E05328"/>
    <w:rsid w:val="00E07F73"/>
    <w:rsid w:val="00E12823"/>
    <w:rsid w:val="00E15A14"/>
    <w:rsid w:val="00E16726"/>
    <w:rsid w:val="00E16B7A"/>
    <w:rsid w:val="00E20361"/>
    <w:rsid w:val="00E20425"/>
    <w:rsid w:val="00E221C6"/>
    <w:rsid w:val="00E23619"/>
    <w:rsid w:val="00E266F1"/>
    <w:rsid w:val="00E27707"/>
    <w:rsid w:val="00E309B6"/>
    <w:rsid w:val="00E323D5"/>
    <w:rsid w:val="00E34688"/>
    <w:rsid w:val="00E37D50"/>
    <w:rsid w:val="00E414F6"/>
    <w:rsid w:val="00E43463"/>
    <w:rsid w:val="00E504FF"/>
    <w:rsid w:val="00E50529"/>
    <w:rsid w:val="00E506C6"/>
    <w:rsid w:val="00E50D49"/>
    <w:rsid w:val="00E52F98"/>
    <w:rsid w:val="00E55484"/>
    <w:rsid w:val="00E57390"/>
    <w:rsid w:val="00E60527"/>
    <w:rsid w:val="00E60598"/>
    <w:rsid w:val="00E616D0"/>
    <w:rsid w:val="00E742D2"/>
    <w:rsid w:val="00E7481A"/>
    <w:rsid w:val="00E82C60"/>
    <w:rsid w:val="00E84DC6"/>
    <w:rsid w:val="00E85263"/>
    <w:rsid w:val="00E87C19"/>
    <w:rsid w:val="00E939FB"/>
    <w:rsid w:val="00EA0A82"/>
    <w:rsid w:val="00EA210B"/>
    <w:rsid w:val="00EA2431"/>
    <w:rsid w:val="00EA36E9"/>
    <w:rsid w:val="00EA4723"/>
    <w:rsid w:val="00EA4C03"/>
    <w:rsid w:val="00EA5F2A"/>
    <w:rsid w:val="00EB1352"/>
    <w:rsid w:val="00EB269B"/>
    <w:rsid w:val="00EB3651"/>
    <w:rsid w:val="00EB5318"/>
    <w:rsid w:val="00EB6353"/>
    <w:rsid w:val="00EB7D60"/>
    <w:rsid w:val="00EC117A"/>
    <w:rsid w:val="00EC5279"/>
    <w:rsid w:val="00EC5967"/>
    <w:rsid w:val="00EC5D8B"/>
    <w:rsid w:val="00EC7985"/>
    <w:rsid w:val="00ED1878"/>
    <w:rsid w:val="00ED2958"/>
    <w:rsid w:val="00ED3FD0"/>
    <w:rsid w:val="00ED5C3E"/>
    <w:rsid w:val="00EE1307"/>
    <w:rsid w:val="00EE383D"/>
    <w:rsid w:val="00EE756C"/>
    <w:rsid w:val="00EE7B63"/>
    <w:rsid w:val="00EF118B"/>
    <w:rsid w:val="00EF3CA4"/>
    <w:rsid w:val="00EF4A28"/>
    <w:rsid w:val="00EF4CB0"/>
    <w:rsid w:val="00EF5663"/>
    <w:rsid w:val="00EF63A8"/>
    <w:rsid w:val="00EF76DF"/>
    <w:rsid w:val="00F04A9F"/>
    <w:rsid w:val="00F04D8F"/>
    <w:rsid w:val="00F07A23"/>
    <w:rsid w:val="00F1247E"/>
    <w:rsid w:val="00F1330A"/>
    <w:rsid w:val="00F13442"/>
    <w:rsid w:val="00F1398E"/>
    <w:rsid w:val="00F1475D"/>
    <w:rsid w:val="00F15CAD"/>
    <w:rsid w:val="00F230C7"/>
    <w:rsid w:val="00F23FEF"/>
    <w:rsid w:val="00F243E0"/>
    <w:rsid w:val="00F3048F"/>
    <w:rsid w:val="00F35FA6"/>
    <w:rsid w:val="00F37FD4"/>
    <w:rsid w:val="00F407AF"/>
    <w:rsid w:val="00F40958"/>
    <w:rsid w:val="00F42EB7"/>
    <w:rsid w:val="00F473D7"/>
    <w:rsid w:val="00F5366F"/>
    <w:rsid w:val="00F56519"/>
    <w:rsid w:val="00F56DF7"/>
    <w:rsid w:val="00F5752D"/>
    <w:rsid w:val="00F6265A"/>
    <w:rsid w:val="00F633F0"/>
    <w:rsid w:val="00F637D5"/>
    <w:rsid w:val="00F63E99"/>
    <w:rsid w:val="00F641C3"/>
    <w:rsid w:val="00F64CD0"/>
    <w:rsid w:val="00F7276A"/>
    <w:rsid w:val="00F7281A"/>
    <w:rsid w:val="00F75B96"/>
    <w:rsid w:val="00F763BF"/>
    <w:rsid w:val="00F84ECC"/>
    <w:rsid w:val="00F923A7"/>
    <w:rsid w:val="00F93F08"/>
    <w:rsid w:val="00F95762"/>
    <w:rsid w:val="00F969EE"/>
    <w:rsid w:val="00F97454"/>
    <w:rsid w:val="00F97D0E"/>
    <w:rsid w:val="00FA162F"/>
    <w:rsid w:val="00FA60B3"/>
    <w:rsid w:val="00FA69B2"/>
    <w:rsid w:val="00FB0572"/>
    <w:rsid w:val="00FB0FE1"/>
    <w:rsid w:val="00FB31DF"/>
    <w:rsid w:val="00FB3755"/>
    <w:rsid w:val="00FB6040"/>
    <w:rsid w:val="00FB6103"/>
    <w:rsid w:val="00FB65B5"/>
    <w:rsid w:val="00FC04F0"/>
    <w:rsid w:val="00FC2DD8"/>
    <w:rsid w:val="00FC2ECD"/>
    <w:rsid w:val="00FC3DB8"/>
    <w:rsid w:val="00FC47CE"/>
    <w:rsid w:val="00FC4E63"/>
    <w:rsid w:val="00FD237B"/>
    <w:rsid w:val="00FD52D6"/>
    <w:rsid w:val="00FD6E5B"/>
    <w:rsid w:val="00FE00D0"/>
    <w:rsid w:val="00FE1CE9"/>
    <w:rsid w:val="00FE1E34"/>
    <w:rsid w:val="00FE22D7"/>
    <w:rsid w:val="00FE3458"/>
    <w:rsid w:val="00FE6EEE"/>
    <w:rsid w:val="00FE7641"/>
    <w:rsid w:val="00FF02FC"/>
    <w:rsid w:val="00FF050A"/>
    <w:rsid w:val="00FF33AD"/>
    <w:rsid w:val="00FF33BC"/>
    <w:rsid w:val="00FF4AAE"/>
    <w:rsid w:val="00FF6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FA7D4"/>
  <w15:docId w15:val="{57405266-AED1-4EC2-857B-DEAB7DF7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325"/>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5A1B51"/>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5A1B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F4BD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B51"/>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5A1B51"/>
    <w:rPr>
      <w:rFonts w:asciiTheme="majorHAnsi" w:eastAsiaTheme="majorEastAsia" w:hAnsiTheme="majorHAnsi" w:cstheme="majorBidi"/>
      <w:color w:val="2F5496" w:themeColor="accent1" w:themeShade="BF"/>
      <w:sz w:val="26"/>
      <w:szCs w:val="26"/>
      <w:lang w:eastAsia="en-GB"/>
    </w:rPr>
  </w:style>
  <w:style w:type="paragraph" w:styleId="FootnoteText">
    <w:name w:val="footnote text"/>
    <w:aliases w:val="single space,footnote text,FOOTNOTES,fn,Footnote Text Char1,Footnote Text Char Char,Footnote Text Char1 Char Char,Footnote Text Char Char Char Char,Footnote Text Char Char1,ADB,footnote text Char,fn Char,ADB Char Char,ft Char,ft,Fußnote,f"/>
    <w:basedOn w:val="Normal"/>
    <w:link w:val="FootnoteTextChar"/>
    <w:uiPriority w:val="99"/>
    <w:unhideWhenUsed/>
    <w:qFormat/>
    <w:rsid w:val="005A1B51"/>
    <w:rPr>
      <w:rFonts w:asciiTheme="minorHAnsi" w:eastAsiaTheme="minorHAnsi" w:hAnsiTheme="minorHAnsi" w:cstheme="minorBidi"/>
      <w:lang w:eastAsia="en-US"/>
    </w:rPr>
  </w:style>
  <w:style w:type="character" w:customStyle="1" w:styleId="FootnoteTextChar">
    <w:name w:val="Footnote Text Char"/>
    <w:aliases w:val="single space Char,footnote text Char1,FOOTNOTES Char,fn Char1,Footnote Text Char1 Char,Footnote Text Char Char Char,Footnote Text Char1 Char Char Char,Footnote Text Char Char Char Char Char,Footnote Text Char Char1 Char,ADB Char"/>
    <w:basedOn w:val="DefaultParagraphFont"/>
    <w:link w:val="FootnoteText"/>
    <w:uiPriority w:val="99"/>
    <w:rsid w:val="005A1B51"/>
    <w:rPr>
      <w:lang w:val="en-US"/>
    </w:rPr>
  </w:style>
  <w:style w:type="character" w:styleId="FootnoteReference">
    <w:name w:val="footnote reference"/>
    <w:aliases w:val="BVI fnr,Footnotes refss,ftref,16 Point,Superscript 6 Point,Footnote Reference Number,nota pié di pagina,Times 10 Point,Exposant 3 Point,Footnote symbol,Footnote reference number,EN Footnote Reference,note TESI,Ref, Exposant 3 Point"/>
    <w:basedOn w:val="DefaultParagraphFont"/>
    <w:link w:val="BVIfnrChar"/>
    <w:uiPriority w:val="99"/>
    <w:unhideWhenUsed/>
    <w:qFormat/>
    <w:rsid w:val="005A1B51"/>
    <w:rPr>
      <w:vertAlign w:val="superscript"/>
    </w:rPr>
  </w:style>
  <w:style w:type="character" w:styleId="Hyperlink">
    <w:name w:val="Hyperlink"/>
    <w:basedOn w:val="DefaultParagraphFont"/>
    <w:uiPriority w:val="99"/>
    <w:unhideWhenUsed/>
    <w:rsid w:val="005A1B51"/>
    <w:rPr>
      <w:color w:val="0000FF"/>
      <w:u w:val="single"/>
    </w:rPr>
  </w:style>
  <w:style w:type="paragraph" w:styleId="Header">
    <w:name w:val="header"/>
    <w:basedOn w:val="Normal"/>
    <w:link w:val="HeaderChar"/>
    <w:uiPriority w:val="99"/>
    <w:unhideWhenUsed/>
    <w:rsid w:val="005A1B51"/>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5A1B51"/>
    <w:rPr>
      <w:lang w:val="en-US"/>
    </w:rPr>
  </w:style>
  <w:style w:type="paragraph" w:styleId="Footer">
    <w:name w:val="footer"/>
    <w:basedOn w:val="Normal"/>
    <w:link w:val="FooterChar"/>
    <w:uiPriority w:val="99"/>
    <w:unhideWhenUsed/>
    <w:rsid w:val="005A1B51"/>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5A1B51"/>
    <w:rPr>
      <w:lang w:val="en-US"/>
    </w:rPr>
  </w:style>
  <w:style w:type="character" w:customStyle="1" w:styleId="apple-converted-space">
    <w:name w:val="apple-converted-space"/>
    <w:basedOn w:val="DefaultParagraphFont"/>
    <w:rsid w:val="005A1B51"/>
  </w:style>
  <w:style w:type="character" w:styleId="FollowedHyperlink">
    <w:name w:val="FollowedHyperlink"/>
    <w:basedOn w:val="DefaultParagraphFont"/>
    <w:uiPriority w:val="99"/>
    <w:semiHidden/>
    <w:unhideWhenUsed/>
    <w:rsid w:val="005A1B51"/>
    <w:rPr>
      <w:color w:val="954F72" w:themeColor="followedHyperlink"/>
      <w:u w:val="single"/>
    </w:rPr>
  </w:style>
  <w:style w:type="paragraph" w:styleId="ListParagraph">
    <w:name w:val="List Paragraph"/>
    <w:aliases w:val="List Paragraph1,List (Mannvit),Numbered List Paragraph,References,Numbered Paragraph,Main numbered paragraph,List_Paragraph,Multilevel para_II,Bullets,123 List Paragraph,List Paragraph nowy,Liste 1,Bullet paras,Citation List,Bullet1"/>
    <w:basedOn w:val="Normal"/>
    <w:link w:val="ListParagraphChar"/>
    <w:uiPriority w:val="34"/>
    <w:qFormat/>
    <w:rsid w:val="005A1B51"/>
    <w:pPr>
      <w:ind w:left="720"/>
      <w:contextualSpacing/>
    </w:pPr>
    <w:rPr>
      <w:rFonts w:asciiTheme="minorHAnsi" w:eastAsiaTheme="minorHAnsi" w:hAnsiTheme="minorHAnsi" w:cstheme="minorBidi"/>
      <w:lang w:eastAsia="en-US"/>
    </w:rPr>
  </w:style>
  <w:style w:type="character" w:customStyle="1" w:styleId="Documenttitle">
    <w:name w:val="Document title"/>
    <w:uiPriority w:val="1"/>
    <w:qFormat/>
    <w:rsid w:val="005A1B51"/>
  </w:style>
  <w:style w:type="character" w:customStyle="1" w:styleId="ListParagraphChar">
    <w:name w:val="List Paragraph Char"/>
    <w:aliases w:val="List Paragraph1 Char,List (Mannvit) Char,Numbered List Paragraph Char,References Char,Numbered Paragraph Char,Main numbered paragraph Char,List_Paragraph Char,Multilevel para_II Char,Bullets Char,123 List Paragraph Char,Liste 1 Char"/>
    <w:link w:val="ListParagraph"/>
    <w:uiPriority w:val="34"/>
    <w:rsid w:val="005A1B51"/>
    <w:rPr>
      <w:lang w:val="en-US"/>
    </w:rPr>
  </w:style>
  <w:style w:type="character" w:styleId="Strong">
    <w:name w:val="Strong"/>
    <w:basedOn w:val="DefaultParagraphFont"/>
    <w:uiPriority w:val="22"/>
    <w:qFormat/>
    <w:rsid w:val="005A1B51"/>
    <w:rPr>
      <w:b/>
      <w:bCs/>
    </w:rPr>
  </w:style>
  <w:style w:type="table" w:styleId="TableGrid">
    <w:name w:val="Table Grid"/>
    <w:basedOn w:val="TableNormal"/>
    <w:uiPriority w:val="39"/>
    <w:rsid w:val="005A1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A1B51"/>
    <w:pPr>
      <w:spacing w:before="100" w:beforeAutospacing="1" w:after="100" w:afterAutospacing="1"/>
    </w:pPr>
    <w:rPr>
      <w:rFonts w:eastAsiaTheme="minorHAnsi"/>
      <w:lang w:eastAsia="en-US"/>
    </w:rPr>
  </w:style>
  <w:style w:type="paragraph" w:customStyle="1" w:styleId="Default">
    <w:name w:val="Default"/>
    <w:rsid w:val="005A1B51"/>
    <w:pPr>
      <w:autoSpaceDE w:val="0"/>
      <w:autoSpaceDN w:val="0"/>
      <w:adjustRightInd w:val="0"/>
    </w:pPr>
    <w:rPr>
      <w:rFonts w:ascii="Times New Roman" w:hAnsi="Times New Roman" w:cs="Times New Roman"/>
      <w:color w:val="000000"/>
    </w:rPr>
  </w:style>
  <w:style w:type="character" w:customStyle="1" w:styleId="m4098323483560972057apple-converted-space">
    <w:name w:val="m_4098323483560972057apple-converted-space"/>
    <w:basedOn w:val="DefaultParagraphFont"/>
    <w:rsid w:val="005A1B51"/>
  </w:style>
  <w:style w:type="character" w:customStyle="1" w:styleId="UnresolvedMention1">
    <w:name w:val="Unresolved Mention1"/>
    <w:basedOn w:val="DefaultParagraphFont"/>
    <w:uiPriority w:val="99"/>
    <w:rsid w:val="005A1B51"/>
    <w:rPr>
      <w:color w:val="605E5C"/>
      <w:shd w:val="clear" w:color="auto" w:fill="E1DFDD"/>
    </w:rPr>
  </w:style>
  <w:style w:type="character" w:styleId="PageNumber">
    <w:name w:val="page number"/>
    <w:basedOn w:val="DefaultParagraphFont"/>
    <w:uiPriority w:val="99"/>
    <w:semiHidden/>
    <w:unhideWhenUsed/>
    <w:rsid w:val="005A1B51"/>
  </w:style>
  <w:style w:type="character" w:styleId="PlaceholderText">
    <w:name w:val="Placeholder Text"/>
    <w:basedOn w:val="DefaultParagraphFont"/>
    <w:uiPriority w:val="99"/>
    <w:semiHidden/>
    <w:rsid w:val="005A1B51"/>
    <w:rPr>
      <w:color w:val="808080"/>
    </w:rPr>
  </w:style>
  <w:style w:type="paragraph" w:customStyle="1" w:styleId="BVIfnrChar">
    <w:name w:val="BVI fnr Char"/>
    <w:aliases w:val="Footnotes refss Char,ftref Char,16 Point Char,Superscript 6 Point Char,Footnote Reference Number Char,nota pié di pagina Char,Times 10 Point Char,Exposant 3 Point Char,Footnote symbol Char,Footnote reference number Char"/>
    <w:basedOn w:val="Normal"/>
    <w:link w:val="FootnoteReference"/>
    <w:uiPriority w:val="99"/>
    <w:rsid w:val="005F3057"/>
    <w:pPr>
      <w:spacing w:after="160" w:line="240" w:lineRule="exact"/>
    </w:pPr>
    <w:rPr>
      <w:rFonts w:asciiTheme="minorHAnsi" w:eastAsiaTheme="minorHAnsi" w:hAnsiTheme="minorHAnsi" w:cstheme="minorBidi"/>
      <w:vertAlign w:val="superscript"/>
      <w:lang w:eastAsia="en-US"/>
    </w:rPr>
  </w:style>
  <w:style w:type="paragraph" w:customStyle="1" w:styleId="Normal1">
    <w:name w:val="Normal1"/>
    <w:basedOn w:val="Normal"/>
    <w:rsid w:val="00A745AF"/>
    <w:pPr>
      <w:spacing w:before="100" w:beforeAutospacing="1" w:after="100" w:afterAutospacing="1"/>
    </w:pPr>
  </w:style>
  <w:style w:type="paragraph" w:styleId="BalloonText">
    <w:name w:val="Balloon Text"/>
    <w:basedOn w:val="Normal"/>
    <w:link w:val="BalloonTextChar"/>
    <w:uiPriority w:val="99"/>
    <w:semiHidden/>
    <w:unhideWhenUsed/>
    <w:rsid w:val="00BF2719"/>
    <w:rPr>
      <w:rFonts w:ascii="Tahoma" w:hAnsi="Tahoma" w:cs="Tahoma"/>
      <w:sz w:val="16"/>
      <w:szCs w:val="16"/>
    </w:rPr>
  </w:style>
  <w:style w:type="character" w:customStyle="1" w:styleId="BalloonTextChar">
    <w:name w:val="Balloon Text Char"/>
    <w:basedOn w:val="DefaultParagraphFont"/>
    <w:link w:val="BalloonText"/>
    <w:uiPriority w:val="99"/>
    <w:semiHidden/>
    <w:rsid w:val="00BF2719"/>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2D2DF7"/>
    <w:rPr>
      <w:sz w:val="16"/>
      <w:szCs w:val="16"/>
    </w:rPr>
  </w:style>
  <w:style w:type="paragraph" w:styleId="CommentText">
    <w:name w:val="annotation text"/>
    <w:basedOn w:val="Normal"/>
    <w:link w:val="CommentTextChar"/>
    <w:uiPriority w:val="99"/>
    <w:semiHidden/>
    <w:unhideWhenUsed/>
    <w:rsid w:val="002D2DF7"/>
    <w:pPr>
      <w:spacing w:after="160"/>
    </w:pPr>
    <w:rPr>
      <w:rFonts w:asciiTheme="minorHAnsi" w:eastAsiaTheme="minorHAnsi" w:hAnsiTheme="minorHAnsi" w:cstheme="minorBidi"/>
      <w:sz w:val="20"/>
      <w:szCs w:val="20"/>
      <w:lang w:val="sr-Latn-RS" w:eastAsia="en-US"/>
    </w:rPr>
  </w:style>
  <w:style w:type="character" w:customStyle="1" w:styleId="CommentTextChar">
    <w:name w:val="Comment Text Char"/>
    <w:basedOn w:val="DefaultParagraphFont"/>
    <w:link w:val="CommentText"/>
    <w:uiPriority w:val="99"/>
    <w:semiHidden/>
    <w:rsid w:val="002D2DF7"/>
    <w:rPr>
      <w:sz w:val="20"/>
      <w:szCs w:val="20"/>
      <w:lang w:val="sr-Latn-RS"/>
    </w:rPr>
  </w:style>
  <w:style w:type="table" w:customStyle="1" w:styleId="GridTable5Dark-Accent51">
    <w:name w:val="Grid Table 5 Dark - Accent 51"/>
    <w:basedOn w:val="TableNormal"/>
    <w:uiPriority w:val="50"/>
    <w:rsid w:val="00767422"/>
    <w:rPr>
      <w:sz w:val="22"/>
      <w:szCs w:val="22"/>
      <w:lang w:val="sr-Latn-R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Heading3Char">
    <w:name w:val="Heading 3 Char"/>
    <w:basedOn w:val="DefaultParagraphFont"/>
    <w:link w:val="Heading3"/>
    <w:uiPriority w:val="9"/>
    <w:rsid w:val="006F4BD2"/>
    <w:rPr>
      <w:rFonts w:asciiTheme="majorHAnsi" w:eastAsiaTheme="majorEastAsia" w:hAnsiTheme="majorHAnsi" w:cstheme="majorBidi"/>
      <w:color w:val="1F3763" w:themeColor="accent1" w:themeShade="7F"/>
      <w:lang w:eastAsia="en-GB"/>
    </w:rPr>
  </w:style>
  <w:style w:type="character" w:customStyle="1" w:styleId="UnresolvedMention2">
    <w:name w:val="Unresolved Mention2"/>
    <w:basedOn w:val="DefaultParagraphFont"/>
    <w:uiPriority w:val="99"/>
    <w:semiHidden/>
    <w:unhideWhenUsed/>
    <w:rsid w:val="001856A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631AC"/>
    <w:pPr>
      <w:spacing w:after="0"/>
    </w:pPr>
    <w:rPr>
      <w:rFonts w:ascii="Times New Roman" w:eastAsia="Times New Roman" w:hAnsi="Times New Roman" w:cs="Times New Roman"/>
      <w:b/>
      <w:bCs/>
      <w:lang w:val="en-US" w:eastAsia="en-GB"/>
    </w:rPr>
  </w:style>
  <w:style w:type="character" w:customStyle="1" w:styleId="CommentSubjectChar">
    <w:name w:val="Comment Subject Char"/>
    <w:basedOn w:val="CommentTextChar"/>
    <w:link w:val="CommentSubject"/>
    <w:uiPriority w:val="99"/>
    <w:semiHidden/>
    <w:rsid w:val="001631AC"/>
    <w:rPr>
      <w:rFonts w:ascii="Times New Roman" w:eastAsia="Times New Roman" w:hAnsi="Times New Roman" w:cs="Times New Roman"/>
      <w:b/>
      <w:bCs/>
      <w:sz w:val="20"/>
      <w:szCs w:val="20"/>
      <w:lang w:val="sr-Latn-RS" w:eastAsia="en-GB"/>
    </w:rPr>
  </w:style>
  <w:style w:type="paragraph" w:customStyle="1" w:styleId="BVIfnrChar2CharChar">
    <w:name w:val="BVI fnr Char2 Char Char"/>
    <w:aliases w:val="Footnotes refss Char2 Char Char,ftref Char2 Char Char,16 Point Char2 Char Char,Superscript 6 Point Char2 Char Char,Footnote Reference Number Char2 Char Char,nota pié di pagina Char2 Char Char"/>
    <w:basedOn w:val="Normal"/>
    <w:uiPriority w:val="99"/>
    <w:rsid w:val="000E1EB7"/>
    <w:pPr>
      <w:spacing w:after="160" w:line="240" w:lineRule="exact"/>
    </w:pPr>
    <w:rPr>
      <w:sz w:val="20"/>
      <w:szCs w:val="20"/>
      <w:vertAlign w:val="superscript"/>
      <w:lang w:val="x-none" w:eastAsia="x-none"/>
    </w:rPr>
  </w:style>
  <w:style w:type="character" w:customStyle="1" w:styleId="markedcontent">
    <w:name w:val="markedcontent"/>
    <w:basedOn w:val="DefaultParagraphFont"/>
    <w:rsid w:val="002E4D78"/>
  </w:style>
  <w:style w:type="character" w:customStyle="1" w:styleId="highlight">
    <w:name w:val="highlight"/>
    <w:basedOn w:val="DefaultParagraphFont"/>
    <w:rsid w:val="002E4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6623">
      <w:bodyDiv w:val="1"/>
      <w:marLeft w:val="0"/>
      <w:marRight w:val="0"/>
      <w:marTop w:val="0"/>
      <w:marBottom w:val="0"/>
      <w:divBdr>
        <w:top w:val="none" w:sz="0" w:space="0" w:color="auto"/>
        <w:left w:val="none" w:sz="0" w:space="0" w:color="auto"/>
        <w:bottom w:val="none" w:sz="0" w:space="0" w:color="auto"/>
        <w:right w:val="none" w:sz="0" w:space="0" w:color="auto"/>
      </w:divBdr>
      <w:divsChild>
        <w:div w:id="657416055">
          <w:marLeft w:val="0"/>
          <w:marRight w:val="0"/>
          <w:marTop w:val="0"/>
          <w:marBottom w:val="0"/>
          <w:divBdr>
            <w:top w:val="none" w:sz="0" w:space="0" w:color="auto"/>
            <w:left w:val="none" w:sz="0" w:space="0" w:color="auto"/>
            <w:bottom w:val="none" w:sz="0" w:space="0" w:color="auto"/>
            <w:right w:val="none" w:sz="0" w:space="0" w:color="auto"/>
          </w:divBdr>
          <w:divsChild>
            <w:div w:id="629634244">
              <w:marLeft w:val="0"/>
              <w:marRight w:val="0"/>
              <w:marTop w:val="0"/>
              <w:marBottom w:val="0"/>
              <w:divBdr>
                <w:top w:val="none" w:sz="0" w:space="0" w:color="auto"/>
                <w:left w:val="none" w:sz="0" w:space="0" w:color="auto"/>
                <w:bottom w:val="none" w:sz="0" w:space="0" w:color="auto"/>
                <w:right w:val="none" w:sz="0" w:space="0" w:color="auto"/>
              </w:divBdr>
              <w:divsChild>
                <w:div w:id="115876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35331">
      <w:bodyDiv w:val="1"/>
      <w:marLeft w:val="0"/>
      <w:marRight w:val="0"/>
      <w:marTop w:val="0"/>
      <w:marBottom w:val="0"/>
      <w:divBdr>
        <w:top w:val="none" w:sz="0" w:space="0" w:color="auto"/>
        <w:left w:val="none" w:sz="0" w:space="0" w:color="auto"/>
        <w:bottom w:val="none" w:sz="0" w:space="0" w:color="auto"/>
        <w:right w:val="none" w:sz="0" w:space="0" w:color="auto"/>
      </w:divBdr>
      <w:divsChild>
        <w:div w:id="3439418">
          <w:marLeft w:val="0"/>
          <w:marRight w:val="0"/>
          <w:marTop w:val="0"/>
          <w:marBottom w:val="0"/>
          <w:divBdr>
            <w:top w:val="none" w:sz="0" w:space="0" w:color="auto"/>
            <w:left w:val="none" w:sz="0" w:space="0" w:color="auto"/>
            <w:bottom w:val="none" w:sz="0" w:space="0" w:color="auto"/>
            <w:right w:val="none" w:sz="0" w:space="0" w:color="auto"/>
          </w:divBdr>
          <w:divsChild>
            <w:div w:id="1372463406">
              <w:marLeft w:val="0"/>
              <w:marRight w:val="0"/>
              <w:marTop w:val="0"/>
              <w:marBottom w:val="0"/>
              <w:divBdr>
                <w:top w:val="none" w:sz="0" w:space="0" w:color="auto"/>
                <w:left w:val="none" w:sz="0" w:space="0" w:color="auto"/>
                <w:bottom w:val="none" w:sz="0" w:space="0" w:color="auto"/>
                <w:right w:val="none" w:sz="0" w:space="0" w:color="auto"/>
              </w:divBdr>
              <w:divsChild>
                <w:div w:id="1806385802">
                  <w:marLeft w:val="0"/>
                  <w:marRight w:val="0"/>
                  <w:marTop w:val="0"/>
                  <w:marBottom w:val="0"/>
                  <w:divBdr>
                    <w:top w:val="none" w:sz="0" w:space="0" w:color="auto"/>
                    <w:left w:val="none" w:sz="0" w:space="0" w:color="auto"/>
                    <w:bottom w:val="none" w:sz="0" w:space="0" w:color="auto"/>
                    <w:right w:val="none" w:sz="0" w:space="0" w:color="auto"/>
                  </w:divBdr>
                  <w:divsChild>
                    <w:div w:id="17143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888693">
      <w:bodyDiv w:val="1"/>
      <w:marLeft w:val="0"/>
      <w:marRight w:val="0"/>
      <w:marTop w:val="0"/>
      <w:marBottom w:val="0"/>
      <w:divBdr>
        <w:top w:val="none" w:sz="0" w:space="0" w:color="auto"/>
        <w:left w:val="none" w:sz="0" w:space="0" w:color="auto"/>
        <w:bottom w:val="none" w:sz="0" w:space="0" w:color="auto"/>
        <w:right w:val="none" w:sz="0" w:space="0" w:color="auto"/>
      </w:divBdr>
    </w:div>
    <w:div w:id="483089230">
      <w:bodyDiv w:val="1"/>
      <w:marLeft w:val="0"/>
      <w:marRight w:val="0"/>
      <w:marTop w:val="0"/>
      <w:marBottom w:val="0"/>
      <w:divBdr>
        <w:top w:val="none" w:sz="0" w:space="0" w:color="auto"/>
        <w:left w:val="none" w:sz="0" w:space="0" w:color="auto"/>
        <w:bottom w:val="none" w:sz="0" w:space="0" w:color="auto"/>
        <w:right w:val="none" w:sz="0" w:space="0" w:color="auto"/>
      </w:divBdr>
      <w:divsChild>
        <w:div w:id="705370681">
          <w:marLeft w:val="0"/>
          <w:marRight w:val="0"/>
          <w:marTop w:val="0"/>
          <w:marBottom w:val="0"/>
          <w:divBdr>
            <w:top w:val="none" w:sz="0" w:space="0" w:color="auto"/>
            <w:left w:val="none" w:sz="0" w:space="0" w:color="auto"/>
            <w:bottom w:val="none" w:sz="0" w:space="0" w:color="auto"/>
            <w:right w:val="none" w:sz="0" w:space="0" w:color="auto"/>
          </w:divBdr>
          <w:divsChild>
            <w:div w:id="81605360">
              <w:marLeft w:val="0"/>
              <w:marRight w:val="0"/>
              <w:marTop w:val="0"/>
              <w:marBottom w:val="0"/>
              <w:divBdr>
                <w:top w:val="none" w:sz="0" w:space="0" w:color="auto"/>
                <w:left w:val="none" w:sz="0" w:space="0" w:color="auto"/>
                <w:bottom w:val="none" w:sz="0" w:space="0" w:color="auto"/>
                <w:right w:val="none" w:sz="0" w:space="0" w:color="auto"/>
              </w:divBdr>
              <w:divsChild>
                <w:div w:id="7705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74173">
      <w:bodyDiv w:val="1"/>
      <w:marLeft w:val="0"/>
      <w:marRight w:val="0"/>
      <w:marTop w:val="0"/>
      <w:marBottom w:val="0"/>
      <w:divBdr>
        <w:top w:val="none" w:sz="0" w:space="0" w:color="auto"/>
        <w:left w:val="none" w:sz="0" w:space="0" w:color="auto"/>
        <w:bottom w:val="none" w:sz="0" w:space="0" w:color="auto"/>
        <w:right w:val="none" w:sz="0" w:space="0" w:color="auto"/>
      </w:divBdr>
    </w:div>
    <w:div w:id="515076168">
      <w:bodyDiv w:val="1"/>
      <w:marLeft w:val="0"/>
      <w:marRight w:val="0"/>
      <w:marTop w:val="0"/>
      <w:marBottom w:val="0"/>
      <w:divBdr>
        <w:top w:val="none" w:sz="0" w:space="0" w:color="auto"/>
        <w:left w:val="none" w:sz="0" w:space="0" w:color="auto"/>
        <w:bottom w:val="none" w:sz="0" w:space="0" w:color="auto"/>
        <w:right w:val="none" w:sz="0" w:space="0" w:color="auto"/>
      </w:divBdr>
    </w:div>
    <w:div w:id="538054359">
      <w:bodyDiv w:val="1"/>
      <w:marLeft w:val="0"/>
      <w:marRight w:val="0"/>
      <w:marTop w:val="0"/>
      <w:marBottom w:val="0"/>
      <w:divBdr>
        <w:top w:val="none" w:sz="0" w:space="0" w:color="auto"/>
        <w:left w:val="none" w:sz="0" w:space="0" w:color="auto"/>
        <w:bottom w:val="none" w:sz="0" w:space="0" w:color="auto"/>
        <w:right w:val="none" w:sz="0" w:space="0" w:color="auto"/>
      </w:divBdr>
    </w:div>
    <w:div w:id="895893017">
      <w:bodyDiv w:val="1"/>
      <w:marLeft w:val="0"/>
      <w:marRight w:val="0"/>
      <w:marTop w:val="0"/>
      <w:marBottom w:val="0"/>
      <w:divBdr>
        <w:top w:val="none" w:sz="0" w:space="0" w:color="auto"/>
        <w:left w:val="none" w:sz="0" w:space="0" w:color="auto"/>
        <w:bottom w:val="none" w:sz="0" w:space="0" w:color="auto"/>
        <w:right w:val="none" w:sz="0" w:space="0" w:color="auto"/>
      </w:divBdr>
    </w:div>
    <w:div w:id="945578878">
      <w:bodyDiv w:val="1"/>
      <w:marLeft w:val="0"/>
      <w:marRight w:val="0"/>
      <w:marTop w:val="0"/>
      <w:marBottom w:val="0"/>
      <w:divBdr>
        <w:top w:val="none" w:sz="0" w:space="0" w:color="auto"/>
        <w:left w:val="none" w:sz="0" w:space="0" w:color="auto"/>
        <w:bottom w:val="none" w:sz="0" w:space="0" w:color="auto"/>
        <w:right w:val="none" w:sz="0" w:space="0" w:color="auto"/>
      </w:divBdr>
    </w:div>
    <w:div w:id="1184057983">
      <w:bodyDiv w:val="1"/>
      <w:marLeft w:val="0"/>
      <w:marRight w:val="0"/>
      <w:marTop w:val="0"/>
      <w:marBottom w:val="0"/>
      <w:divBdr>
        <w:top w:val="none" w:sz="0" w:space="0" w:color="auto"/>
        <w:left w:val="none" w:sz="0" w:space="0" w:color="auto"/>
        <w:bottom w:val="none" w:sz="0" w:space="0" w:color="auto"/>
        <w:right w:val="none" w:sz="0" w:space="0" w:color="auto"/>
      </w:divBdr>
    </w:div>
    <w:div w:id="1205603291">
      <w:bodyDiv w:val="1"/>
      <w:marLeft w:val="0"/>
      <w:marRight w:val="0"/>
      <w:marTop w:val="0"/>
      <w:marBottom w:val="0"/>
      <w:divBdr>
        <w:top w:val="none" w:sz="0" w:space="0" w:color="auto"/>
        <w:left w:val="none" w:sz="0" w:space="0" w:color="auto"/>
        <w:bottom w:val="none" w:sz="0" w:space="0" w:color="auto"/>
        <w:right w:val="none" w:sz="0" w:space="0" w:color="auto"/>
      </w:divBdr>
    </w:div>
    <w:div w:id="1325888158">
      <w:bodyDiv w:val="1"/>
      <w:marLeft w:val="0"/>
      <w:marRight w:val="0"/>
      <w:marTop w:val="0"/>
      <w:marBottom w:val="0"/>
      <w:divBdr>
        <w:top w:val="none" w:sz="0" w:space="0" w:color="auto"/>
        <w:left w:val="none" w:sz="0" w:space="0" w:color="auto"/>
        <w:bottom w:val="none" w:sz="0" w:space="0" w:color="auto"/>
        <w:right w:val="none" w:sz="0" w:space="0" w:color="auto"/>
      </w:divBdr>
    </w:div>
    <w:div w:id="1333876624">
      <w:bodyDiv w:val="1"/>
      <w:marLeft w:val="0"/>
      <w:marRight w:val="0"/>
      <w:marTop w:val="0"/>
      <w:marBottom w:val="0"/>
      <w:divBdr>
        <w:top w:val="none" w:sz="0" w:space="0" w:color="auto"/>
        <w:left w:val="none" w:sz="0" w:space="0" w:color="auto"/>
        <w:bottom w:val="none" w:sz="0" w:space="0" w:color="auto"/>
        <w:right w:val="none" w:sz="0" w:space="0" w:color="auto"/>
      </w:divBdr>
    </w:div>
    <w:div w:id="1416123283">
      <w:bodyDiv w:val="1"/>
      <w:marLeft w:val="0"/>
      <w:marRight w:val="0"/>
      <w:marTop w:val="0"/>
      <w:marBottom w:val="0"/>
      <w:divBdr>
        <w:top w:val="none" w:sz="0" w:space="0" w:color="auto"/>
        <w:left w:val="none" w:sz="0" w:space="0" w:color="auto"/>
        <w:bottom w:val="none" w:sz="0" w:space="0" w:color="auto"/>
        <w:right w:val="none" w:sz="0" w:space="0" w:color="auto"/>
      </w:divBdr>
    </w:div>
    <w:div w:id="1500581284">
      <w:bodyDiv w:val="1"/>
      <w:marLeft w:val="0"/>
      <w:marRight w:val="0"/>
      <w:marTop w:val="0"/>
      <w:marBottom w:val="0"/>
      <w:divBdr>
        <w:top w:val="none" w:sz="0" w:space="0" w:color="auto"/>
        <w:left w:val="none" w:sz="0" w:space="0" w:color="auto"/>
        <w:bottom w:val="none" w:sz="0" w:space="0" w:color="auto"/>
        <w:right w:val="none" w:sz="0" w:space="0" w:color="auto"/>
      </w:divBdr>
    </w:div>
    <w:div w:id="1536693277">
      <w:bodyDiv w:val="1"/>
      <w:marLeft w:val="0"/>
      <w:marRight w:val="0"/>
      <w:marTop w:val="0"/>
      <w:marBottom w:val="0"/>
      <w:divBdr>
        <w:top w:val="none" w:sz="0" w:space="0" w:color="auto"/>
        <w:left w:val="none" w:sz="0" w:space="0" w:color="auto"/>
        <w:bottom w:val="none" w:sz="0" w:space="0" w:color="auto"/>
        <w:right w:val="none" w:sz="0" w:space="0" w:color="auto"/>
      </w:divBdr>
      <w:divsChild>
        <w:div w:id="2081629693">
          <w:marLeft w:val="0"/>
          <w:marRight w:val="0"/>
          <w:marTop w:val="0"/>
          <w:marBottom w:val="0"/>
          <w:divBdr>
            <w:top w:val="none" w:sz="0" w:space="0" w:color="auto"/>
            <w:left w:val="none" w:sz="0" w:space="0" w:color="auto"/>
            <w:bottom w:val="none" w:sz="0" w:space="0" w:color="auto"/>
            <w:right w:val="none" w:sz="0" w:space="0" w:color="auto"/>
          </w:divBdr>
          <w:divsChild>
            <w:div w:id="1809980011">
              <w:marLeft w:val="0"/>
              <w:marRight w:val="0"/>
              <w:marTop w:val="0"/>
              <w:marBottom w:val="0"/>
              <w:divBdr>
                <w:top w:val="none" w:sz="0" w:space="0" w:color="auto"/>
                <w:left w:val="none" w:sz="0" w:space="0" w:color="auto"/>
                <w:bottom w:val="none" w:sz="0" w:space="0" w:color="auto"/>
                <w:right w:val="none" w:sz="0" w:space="0" w:color="auto"/>
              </w:divBdr>
              <w:divsChild>
                <w:div w:id="16629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94954">
      <w:bodyDiv w:val="1"/>
      <w:marLeft w:val="0"/>
      <w:marRight w:val="0"/>
      <w:marTop w:val="0"/>
      <w:marBottom w:val="0"/>
      <w:divBdr>
        <w:top w:val="none" w:sz="0" w:space="0" w:color="auto"/>
        <w:left w:val="none" w:sz="0" w:space="0" w:color="auto"/>
        <w:bottom w:val="none" w:sz="0" w:space="0" w:color="auto"/>
        <w:right w:val="none" w:sz="0" w:space="0" w:color="auto"/>
      </w:divBdr>
      <w:divsChild>
        <w:div w:id="431315360">
          <w:marLeft w:val="0"/>
          <w:marRight w:val="0"/>
          <w:marTop w:val="0"/>
          <w:marBottom w:val="0"/>
          <w:divBdr>
            <w:top w:val="none" w:sz="0" w:space="0" w:color="auto"/>
            <w:left w:val="none" w:sz="0" w:space="0" w:color="auto"/>
            <w:bottom w:val="none" w:sz="0" w:space="0" w:color="auto"/>
            <w:right w:val="none" w:sz="0" w:space="0" w:color="auto"/>
          </w:divBdr>
          <w:divsChild>
            <w:div w:id="413548259">
              <w:marLeft w:val="0"/>
              <w:marRight w:val="0"/>
              <w:marTop w:val="0"/>
              <w:marBottom w:val="0"/>
              <w:divBdr>
                <w:top w:val="none" w:sz="0" w:space="0" w:color="auto"/>
                <w:left w:val="none" w:sz="0" w:space="0" w:color="auto"/>
                <w:bottom w:val="none" w:sz="0" w:space="0" w:color="auto"/>
                <w:right w:val="none" w:sz="0" w:space="0" w:color="auto"/>
              </w:divBdr>
              <w:divsChild>
                <w:div w:id="15095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968995">
      <w:bodyDiv w:val="1"/>
      <w:marLeft w:val="0"/>
      <w:marRight w:val="0"/>
      <w:marTop w:val="0"/>
      <w:marBottom w:val="0"/>
      <w:divBdr>
        <w:top w:val="none" w:sz="0" w:space="0" w:color="auto"/>
        <w:left w:val="none" w:sz="0" w:space="0" w:color="auto"/>
        <w:bottom w:val="none" w:sz="0" w:space="0" w:color="auto"/>
        <w:right w:val="none" w:sz="0" w:space="0" w:color="auto"/>
      </w:divBdr>
      <w:divsChild>
        <w:div w:id="940334422">
          <w:marLeft w:val="0"/>
          <w:marRight w:val="0"/>
          <w:marTop w:val="0"/>
          <w:marBottom w:val="0"/>
          <w:divBdr>
            <w:top w:val="none" w:sz="0" w:space="0" w:color="auto"/>
            <w:left w:val="none" w:sz="0" w:space="0" w:color="auto"/>
            <w:bottom w:val="none" w:sz="0" w:space="0" w:color="auto"/>
            <w:right w:val="none" w:sz="0" w:space="0" w:color="auto"/>
          </w:divBdr>
          <w:divsChild>
            <w:div w:id="1333484455">
              <w:marLeft w:val="0"/>
              <w:marRight w:val="0"/>
              <w:marTop w:val="0"/>
              <w:marBottom w:val="0"/>
              <w:divBdr>
                <w:top w:val="none" w:sz="0" w:space="0" w:color="auto"/>
                <w:left w:val="none" w:sz="0" w:space="0" w:color="auto"/>
                <w:bottom w:val="none" w:sz="0" w:space="0" w:color="auto"/>
                <w:right w:val="none" w:sz="0" w:space="0" w:color="auto"/>
              </w:divBdr>
              <w:divsChild>
                <w:div w:id="121311262">
                  <w:marLeft w:val="0"/>
                  <w:marRight w:val="0"/>
                  <w:marTop w:val="0"/>
                  <w:marBottom w:val="0"/>
                  <w:divBdr>
                    <w:top w:val="none" w:sz="0" w:space="0" w:color="auto"/>
                    <w:left w:val="none" w:sz="0" w:space="0" w:color="auto"/>
                    <w:bottom w:val="none" w:sz="0" w:space="0" w:color="auto"/>
                    <w:right w:val="none" w:sz="0" w:space="0" w:color="auto"/>
                  </w:divBdr>
                  <w:divsChild>
                    <w:div w:id="14617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264708">
      <w:bodyDiv w:val="1"/>
      <w:marLeft w:val="0"/>
      <w:marRight w:val="0"/>
      <w:marTop w:val="0"/>
      <w:marBottom w:val="0"/>
      <w:divBdr>
        <w:top w:val="none" w:sz="0" w:space="0" w:color="auto"/>
        <w:left w:val="none" w:sz="0" w:space="0" w:color="auto"/>
        <w:bottom w:val="none" w:sz="0" w:space="0" w:color="auto"/>
        <w:right w:val="none" w:sz="0" w:space="0" w:color="auto"/>
      </w:divBdr>
    </w:div>
    <w:div w:id="1928080088">
      <w:bodyDiv w:val="1"/>
      <w:marLeft w:val="0"/>
      <w:marRight w:val="0"/>
      <w:marTop w:val="0"/>
      <w:marBottom w:val="0"/>
      <w:divBdr>
        <w:top w:val="none" w:sz="0" w:space="0" w:color="auto"/>
        <w:left w:val="none" w:sz="0" w:space="0" w:color="auto"/>
        <w:bottom w:val="none" w:sz="0" w:space="0" w:color="auto"/>
        <w:right w:val="none" w:sz="0" w:space="0" w:color="auto"/>
      </w:divBdr>
    </w:div>
    <w:div w:id="2063283299">
      <w:bodyDiv w:val="1"/>
      <w:marLeft w:val="0"/>
      <w:marRight w:val="0"/>
      <w:marTop w:val="0"/>
      <w:marBottom w:val="0"/>
      <w:divBdr>
        <w:top w:val="none" w:sz="0" w:space="0" w:color="auto"/>
        <w:left w:val="none" w:sz="0" w:space="0" w:color="auto"/>
        <w:bottom w:val="none" w:sz="0" w:space="0" w:color="auto"/>
        <w:right w:val="none" w:sz="0" w:space="0" w:color="auto"/>
      </w:divBdr>
      <w:divsChild>
        <w:div w:id="27604832">
          <w:marLeft w:val="0"/>
          <w:marRight w:val="0"/>
          <w:marTop w:val="0"/>
          <w:marBottom w:val="0"/>
          <w:divBdr>
            <w:top w:val="none" w:sz="0" w:space="0" w:color="auto"/>
            <w:left w:val="none" w:sz="0" w:space="0" w:color="auto"/>
            <w:bottom w:val="none" w:sz="0" w:space="0" w:color="auto"/>
            <w:right w:val="none" w:sz="0" w:space="0" w:color="auto"/>
          </w:divBdr>
          <w:divsChild>
            <w:div w:id="303706155">
              <w:marLeft w:val="0"/>
              <w:marRight w:val="0"/>
              <w:marTop w:val="0"/>
              <w:marBottom w:val="0"/>
              <w:divBdr>
                <w:top w:val="none" w:sz="0" w:space="0" w:color="auto"/>
                <w:left w:val="none" w:sz="0" w:space="0" w:color="auto"/>
                <w:bottom w:val="none" w:sz="0" w:space="0" w:color="auto"/>
                <w:right w:val="none" w:sz="0" w:space="0" w:color="auto"/>
              </w:divBdr>
              <w:divsChild>
                <w:div w:id="6423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s>
</file>

<file path=word/_rels/footnotes.xml.rels><?xml version="1.0" encoding="UTF-8" standalone="yes"?>
<Relationships xmlns="http://schemas.openxmlformats.org/package/2006/relationships"><Relationship Id="rId1" Type="http://schemas.openxmlformats.org/officeDocument/2006/relationships/hyperlink" Target="http://www.pravno-informacioni-sistem.rs/SlGlasnikPortal/eli/rep/sgrs/vlada/uredba/2016/18/1/re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Fujitsu\Desktop\SKGO%20projekat\Rad\Prvi%20draft\SKGO_baza_Draft_2_.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Fujitsu\Desktop\SKGO%20projekat\Rad\Prvi%20draft\SKGO_baza_Draft_2_.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Fujitsu\Desktop\SKGO%20projekat\Rad\Prvi%20draft\SKGO_baza_Draft_2_.xls"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Fujitsu\Desktop\SKGO%20projekat\Rad\Prvi%20draft\SKGO_baza_Draft_2_.xls"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NSP!$X$53</c:f>
              <c:strCache>
                <c:ptCount val="1"/>
                <c:pt idx="0">
                  <c:v>Смедеревска Паланка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NSP!$W$54:$W$62</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NSP!$X$54:$X$62</c:f>
              <c:numCache>
                <c:formatCode>General</c:formatCode>
                <c:ptCount val="9"/>
                <c:pt idx="0">
                  <c:v>1.6</c:v>
                </c:pt>
                <c:pt idx="1">
                  <c:v>1.9</c:v>
                </c:pt>
                <c:pt idx="2">
                  <c:v>1.8</c:v>
                </c:pt>
                <c:pt idx="3">
                  <c:v>1.9</c:v>
                </c:pt>
                <c:pt idx="4">
                  <c:v>2</c:v>
                </c:pt>
                <c:pt idx="5">
                  <c:v>2.2999999999999998</c:v>
                </c:pt>
                <c:pt idx="6">
                  <c:v>2.5</c:v>
                </c:pt>
                <c:pt idx="7">
                  <c:v>2.7</c:v>
                </c:pt>
                <c:pt idx="8">
                  <c:v>2.7</c:v>
                </c:pt>
              </c:numCache>
            </c:numRef>
          </c:val>
          <c:extLst>
            <c:ext xmlns:c16="http://schemas.microsoft.com/office/drawing/2014/chart" uri="{C3380CC4-5D6E-409C-BE32-E72D297353CC}">
              <c16:uniqueId val="{00000000-6C8B-4A03-AEBD-A97BE6D4296B}"/>
            </c:ext>
          </c:extLst>
        </c:ser>
        <c:ser>
          <c:idx val="1"/>
          <c:order val="1"/>
          <c:tx>
            <c:strRef>
              <c:f>NSP!$Y$53</c:f>
              <c:strCache>
                <c:ptCount val="1"/>
                <c:pt idx="0">
                  <c:v>Подунавска област</c:v>
                </c:pt>
              </c:strCache>
            </c:strRef>
          </c:tx>
          <c:spPr>
            <a:solidFill>
              <a:schemeClr val="accent2"/>
            </a:solidFill>
            <a:ln>
              <a:noFill/>
            </a:ln>
            <a:effectLst/>
          </c:spPr>
          <c:invertIfNegative val="0"/>
          <c:cat>
            <c:numRef>
              <c:f>NSP!$W$54:$W$62</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NSP!$Y$54:$Y$62</c:f>
              <c:numCache>
                <c:formatCode>General</c:formatCode>
                <c:ptCount val="9"/>
                <c:pt idx="0">
                  <c:v>1.7</c:v>
                </c:pt>
                <c:pt idx="1">
                  <c:v>2.1</c:v>
                </c:pt>
                <c:pt idx="2">
                  <c:v>2.2000000000000002</c:v>
                </c:pt>
                <c:pt idx="3">
                  <c:v>2.2999999999999998</c:v>
                </c:pt>
                <c:pt idx="4">
                  <c:v>2.6</c:v>
                </c:pt>
                <c:pt idx="5">
                  <c:v>2.9</c:v>
                </c:pt>
                <c:pt idx="6">
                  <c:v>2.9</c:v>
                </c:pt>
                <c:pt idx="7">
                  <c:v>2.8</c:v>
                </c:pt>
                <c:pt idx="8">
                  <c:v>2.7</c:v>
                </c:pt>
              </c:numCache>
            </c:numRef>
          </c:val>
          <c:extLst>
            <c:ext xmlns:c16="http://schemas.microsoft.com/office/drawing/2014/chart" uri="{C3380CC4-5D6E-409C-BE32-E72D297353CC}">
              <c16:uniqueId val="{00000001-6C8B-4A03-AEBD-A97BE6D4296B}"/>
            </c:ext>
          </c:extLst>
        </c:ser>
        <c:dLbls>
          <c:showLegendKey val="0"/>
          <c:showVal val="0"/>
          <c:showCatName val="0"/>
          <c:showSerName val="0"/>
          <c:showPercent val="0"/>
          <c:showBubbleSize val="0"/>
        </c:dLbls>
        <c:gapWidth val="219"/>
        <c:overlap val="-27"/>
        <c:axId val="2035915280"/>
        <c:axId val="2035915696"/>
      </c:barChart>
      <c:lineChart>
        <c:grouping val="standard"/>
        <c:varyColors val="0"/>
        <c:ser>
          <c:idx val="2"/>
          <c:order val="2"/>
          <c:tx>
            <c:strRef>
              <c:f>NSP!$Z$53</c:f>
              <c:strCache>
                <c:ptCount val="1"/>
                <c:pt idx="0">
                  <c:v>Србија-југ</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NSP!$W$54:$W$62</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NSP!$Z$54:$Z$62</c:f>
              <c:numCache>
                <c:formatCode>General</c:formatCode>
                <c:ptCount val="9"/>
                <c:pt idx="0">
                  <c:v>3.7</c:v>
                </c:pt>
                <c:pt idx="1">
                  <c:v>4.0500000000000007</c:v>
                </c:pt>
                <c:pt idx="2">
                  <c:v>4</c:v>
                </c:pt>
                <c:pt idx="3">
                  <c:v>3.85</c:v>
                </c:pt>
                <c:pt idx="4">
                  <c:v>3.95</c:v>
                </c:pt>
                <c:pt idx="5">
                  <c:v>3.95</c:v>
                </c:pt>
                <c:pt idx="6">
                  <c:v>3.8499999999999996</c:v>
                </c:pt>
                <c:pt idx="7">
                  <c:v>3.6</c:v>
                </c:pt>
                <c:pt idx="8" formatCode="0.0">
                  <c:v>3.5</c:v>
                </c:pt>
              </c:numCache>
            </c:numRef>
          </c:val>
          <c:smooth val="0"/>
          <c:extLst>
            <c:ext xmlns:c16="http://schemas.microsoft.com/office/drawing/2014/chart" uri="{C3380CC4-5D6E-409C-BE32-E72D297353CC}">
              <c16:uniqueId val="{00000002-6C8B-4A03-AEBD-A97BE6D4296B}"/>
            </c:ext>
          </c:extLst>
        </c:ser>
        <c:dLbls>
          <c:showLegendKey val="0"/>
          <c:showVal val="0"/>
          <c:showCatName val="0"/>
          <c:showSerName val="0"/>
          <c:showPercent val="0"/>
          <c:showBubbleSize val="0"/>
        </c:dLbls>
        <c:marker val="1"/>
        <c:smooth val="0"/>
        <c:axId val="2035915280"/>
        <c:axId val="2035915696"/>
      </c:lineChart>
      <c:catAx>
        <c:axId val="2035915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RS"/>
          </a:p>
        </c:txPr>
        <c:crossAx val="2035915696"/>
        <c:crosses val="autoZero"/>
        <c:auto val="1"/>
        <c:lblAlgn val="ctr"/>
        <c:lblOffset val="100"/>
        <c:noMultiLvlLbl val="0"/>
      </c:catAx>
      <c:valAx>
        <c:axId val="2035915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RS"/>
          </a:p>
        </c:txPr>
        <c:crossAx val="2035915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DD!$AX$30</c:f>
              <c:strCache>
                <c:ptCount val="1"/>
                <c:pt idx="0">
                  <c:v>ДД основни</c:v>
                </c:pt>
              </c:strCache>
            </c:strRef>
          </c:tx>
          <c:spPr>
            <a:solidFill>
              <a:schemeClr val="accent1"/>
            </a:solidFill>
            <a:ln>
              <a:noFill/>
            </a:ln>
            <a:effectLst/>
          </c:spPr>
          <c:cat>
            <c:numRef>
              <c:f>DD!$AW$31:$AW$41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DD!$AX$31:$AX$41</c:f>
              <c:numCache>
                <c:formatCode>General</c:formatCode>
                <c:ptCount val="11"/>
                <c:pt idx="0">
                  <c:v>1835</c:v>
                </c:pt>
                <c:pt idx="1">
                  <c:v>1912</c:v>
                </c:pt>
                <c:pt idx="2">
                  <c:v>1879</c:v>
                </c:pt>
                <c:pt idx="3">
                  <c:v>1881</c:v>
                </c:pt>
                <c:pt idx="4">
                  <c:v>1851</c:v>
                </c:pt>
                <c:pt idx="5">
                  <c:v>1774</c:v>
                </c:pt>
                <c:pt idx="6">
                  <c:v>1770</c:v>
                </c:pt>
                <c:pt idx="7">
                  <c:v>1664</c:v>
                </c:pt>
                <c:pt idx="8">
                  <c:v>1496</c:v>
                </c:pt>
                <c:pt idx="9">
                  <c:v>1289</c:v>
                </c:pt>
                <c:pt idx="10">
                  <c:v>1226</c:v>
                </c:pt>
              </c:numCache>
            </c:numRef>
          </c:val>
          <c:extLst>
            <c:ext xmlns:c16="http://schemas.microsoft.com/office/drawing/2014/chart" uri="{C3380CC4-5D6E-409C-BE32-E72D297353CC}">
              <c16:uniqueId val="{00000000-16E1-4718-9B16-2550DE245D57}"/>
            </c:ext>
          </c:extLst>
        </c:ser>
        <c:ser>
          <c:idx val="1"/>
          <c:order val="1"/>
          <c:tx>
            <c:strRef>
              <c:f>DD!$AY$30</c:f>
              <c:strCache>
                <c:ptCount val="1"/>
                <c:pt idx="0">
                  <c:v>ДД увећани</c:v>
                </c:pt>
              </c:strCache>
            </c:strRef>
          </c:tx>
          <c:spPr>
            <a:solidFill>
              <a:schemeClr val="accent2"/>
            </a:solidFill>
            <a:ln>
              <a:noFill/>
            </a:ln>
            <a:effectLst/>
          </c:spPr>
          <c:cat>
            <c:numRef>
              <c:f>DD!$AW$31:$AW$41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DD!$AY$31:$AY$41</c:f>
              <c:numCache>
                <c:formatCode>General</c:formatCode>
                <c:ptCount val="11"/>
                <c:pt idx="0">
                  <c:v>490</c:v>
                </c:pt>
                <c:pt idx="1">
                  <c:v>485</c:v>
                </c:pt>
                <c:pt idx="2">
                  <c:v>493</c:v>
                </c:pt>
                <c:pt idx="3">
                  <c:v>493</c:v>
                </c:pt>
                <c:pt idx="4">
                  <c:v>475</c:v>
                </c:pt>
                <c:pt idx="5">
                  <c:v>468</c:v>
                </c:pt>
                <c:pt idx="6">
                  <c:v>451</c:v>
                </c:pt>
                <c:pt idx="7">
                  <c:v>428</c:v>
                </c:pt>
                <c:pt idx="8">
                  <c:v>396</c:v>
                </c:pt>
                <c:pt idx="9">
                  <c:v>364</c:v>
                </c:pt>
                <c:pt idx="10">
                  <c:v>182</c:v>
                </c:pt>
              </c:numCache>
            </c:numRef>
          </c:val>
          <c:extLst>
            <c:ext xmlns:c16="http://schemas.microsoft.com/office/drawing/2014/chart" uri="{C3380CC4-5D6E-409C-BE32-E72D297353CC}">
              <c16:uniqueId val="{00000001-16E1-4718-9B16-2550DE245D57}"/>
            </c:ext>
          </c:extLst>
        </c:ser>
        <c:dLbls>
          <c:showLegendKey val="0"/>
          <c:showVal val="0"/>
          <c:showCatName val="0"/>
          <c:showSerName val="0"/>
          <c:showPercent val="0"/>
          <c:showBubbleSize val="0"/>
        </c:dLbls>
        <c:axId val="80786544"/>
        <c:axId val="80785712"/>
      </c:areaChart>
      <c:catAx>
        <c:axId val="807865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RS"/>
          </a:p>
        </c:txPr>
        <c:crossAx val="80785712"/>
        <c:crosses val="autoZero"/>
        <c:auto val="1"/>
        <c:lblAlgn val="ctr"/>
        <c:lblOffset val="100"/>
        <c:noMultiLvlLbl val="0"/>
      </c:catAx>
      <c:valAx>
        <c:axId val="80785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RS"/>
          </a:p>
        </c:txPr>
        <c:crossAx val="8078654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R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'Kapacitet CSR'!$AE$49</c:f>
              <c:strCache>
                <c:ptCount val="1"/>
                <c:pt idx="0">
                  <c:v>Смедеревска Паланка</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4.1048775153105878E-2"/>
                  <c:y val="-3.04050014581511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919-4694-9327-15EC3D7A73D2}"/>
                </c:ext>
              </c:extLst>
            </c:dLbl>
            <c:dLbl>
              <c:idx val="1"/>
              <c:layout>
                <c:manualLayout>
                  <c:x val="-4.1048775153105864E-2"/>
                  <c:y val="-3.503463108778073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919-4694-9327-15EC3D7A73D2}"/>
                </c:ext>
              </c:extLst>
            </c:dLbl>
            <c:dLbl>
              <c:idx val="2"/>
              <c:layout>
                <c:manualLayout>
                  <c:x val="-5.343066491688539E-2"/>
                  <c:y val="-2.57753718285214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919-4694-9327-15EC3D7A73D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R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'Kapacitet CSR'!$AD$50:$AD$59</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'Kapacitet CSR'!$AE$50:$AE$59</c:f>
              <c:numCache>
                <c:formatCode>General</c:formatCode>
                <c:ptCount val="10"/>
                <c:pt idx="0">
                  <c:v>9.4</c:v>
                </c:pt>
                <c:pt idx="1">
                  <c:v>9.6</c:v>
                </c:pt>
                <c:pt idx="2">
                  <c:v>10.1</c:v>
                </c:pt>
                <c:pt idx="3">
                  <c:v>9.9</c:v>
                </c:pt>
                <c:pt idx="4">
                  <c:v>10</c:v>
                </c:pt>
                <c:pt idx="5">
                  <c:v>10.5</c:v>
                </c:pt>
                <c:pt idx="6">
                  <c:v>10.4</c:v>
                </c:pt>
                <c:pt idx="7">
                  <c:v>10.6</c:v>
                </c:pt>
                <c:pt idx="8">
                  <c:v>11.2</c:v>
                </c:pt>
                <c:pt idx="9">
                  <c:v>9.3000000000000007</c:v>
                </c:pt>
              </c:numCache>
            </c:numRef>
          </c:val>
          <c:smooth val="0"/>
          <c:extLst>
            <c:ext xmlns:c16="http://schemas.microsoft.com/office/drawing/2014/chart" uri="{C3380CC4-5D6E-409C-BE32-E72D297353CC}">
              <c16:uniqueId val="{00000003-9919-4694-9327-15EC3D7A73D2}"/>
            </c:ext>
          </c:extLst>
        </c:ser>
        <c:ser>
          <c:idx val="1"/>
          <c:order val="1"/>
          <c:tx>
            <c:strRef>
              <c:f>'Kapacitet CSR'!$AF$49</c:f>
              <c:strCache>
                <c:ptCount val="1"/>
                <c:pt idx="0">
                  <c:v>Подунавска област</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9"/>
              <c:layout>
                <c:manualLayout>
                  <c:x val="-2.3546806649168955E-2"/>
                  <c:y val="-1.589129483814525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919-4694-9327-15EC3D7A73D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R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'Kapacitet CSR'!$AD$50:$AD$59</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'Kapacitet CSR'!$AF$50:$AF$59</c:f>
              <c:numCache>
                <c:formatCode>General</c:formatCode>
                <c:ptCount val="10"/>
                <c:pt idx="0">
                  <c:v>11.2</c:v>
                </c:pt>
                <c:pt idx="1">
                  <c:v>11.8</c:v>
                </c:pt>
                <c:pt idx="2">
                  <c:v>11.2</c:v>
                </c:pt>
                <c:pt idx="3">
                  <c:v>11.3</c:v>
                </c:pt>
                <c:pt idx="4">
                  <c:v>11.6</c:v>
                </c:pt>
                <c:pt idx="5">
                  <c:v>11.8</c:v>
                </c:pt>
                <c:pt idx="6">
                  <c:v>11.6</c:v>
                </c:pt>
                <c:pt idx="7">
                  <c:v>12.4</c:v>
                </c:pt>
                <c:pt idx="8">
                  <c:v>12</c:v>
                </c:pt>
                <c:pt idx="9">
                  <c:v>10.8</c:v>
                </c:pt>
              </c:numCache>
            </c:numRef>
          </c:val>
          <c:smooth val="0"/>
          <c:extLst>
            <c:ext xmlns:c16="http://schemas.microsoft.com/office/drawing/2014/chart" uri="{C3380CC4-5D6E-409C-BE32-E72D297353CC}">
              <c16:uniqueId val="{00000005-9919-4694-9327-15EC3D7A73D2}"/>
            </c:ext>
          </c:extLst>
        </c:ser>
        <c:ser>
          <c:idx val="2"/>
          <c:order val="2"/>
          <c:tx>
            <c:strRef>
              <c:f>'Kapacitet CSR'!$AG$49</c:f>
              <c:strCache>
                <c:ptCount val="1"/>
                <c:pt idx="0">
                  <c:v>Србија-југ</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'Kapacitet CSR'!$AD$50:$AD$59</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'Kapacitet CSR'!$AG$50:$AG$59</c:f>
              <c:numCache>
                <c:formatCode>0.0</c:formatCode>
                <c:ptCount val="10"/>
                <c:pt idx="0">
                  <c:v>8.8000000000000007</c:v>
                </c:pt>
                <c:pt idx="1">
                  <c:v>9.4499999999999993</c:v>
                </c:pt>
                <c:pt idx="2">
                  <c:v>10</c:v>
                </c:pt>
                <c:pt idx="3">
                  <c:v>10.45</c:v>
                </c:pt>
                <c:pt idx="4">
                  <c:v>10.75</c:v>
                </c:pt>
                <c:pt idx="5">
                  <c:v>11.15</c:v>
                </c:pt>
                <c:pt idx="6">
                  <c:v>11.3</c:v>
                </c:pt>
                <c:pt idx="7">
                  <c:v>11.649999999999999</c:v>
                </c:pt>
                <c:pt idx="8">
                  <c:v>11.7</c:v>
                </c:pt>
                <c:pt idx="9">
                  <c:v>11.55</c:v>
                </c:pt>
              </c:numCache>
            </c:numRef>
          </c:val>
          <c:smooth val="0"/>
          <c:extLst>
            <c:ext xmlns:c16="http://schemas.microsoft.com/office/drawing/2014/chart" uri="{C3380CC4-5D6E-409C-BE32-E72D297353CC}">
              <c16:uniqueId val="{00000006-9919-4694-9327-15EC3D7A73D2}"/>
            </c:ext>
          </c:extLst>
        </c:ser>
        <c:dLbls>
          <c:showLegendKey val="0"/>
          <c:showVal val="0"/>
          <c:showCatName val="0"/>
          <c:showSerName val="0"/>
          <c:showPercent val="0"/>
          <c:showBubbleSize val="0"/>
        </c:dLbls>
        <c:marker val="1"/>
        <c:smooth val="0"/>
        <c:axId val="126995136"/>
        <c:axId val="126995968"/>
      </c:lineChart>
      <c:catAx>
        <c:axId val="126995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RS"/>
          </a:p>
        </c:txPr>
        <c:crossAx val="126995968"/>
        <c:crosses val="autoZero"/>
        <c:auto val="1"/>
        <c:lblAlgn val="ctr"/>
        <c:lblOffset val="100"/>
        <c:noMultiLvlLbl val="0"/>
      </c:catAx>
      <c:valAx>
        <c:axId val="126995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RS"/>
          </a:p>
        </c:txPr>
        <c:crossAx val="126995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Smrtnost!$AA$40</c:f>
              <c:strCache>
                <c:ptCount val="1"/>
                <c:pt idx="0">
                  <c:v>Смедеревска Паланка</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1.1763998250218722E-2"/>
                  <c:y val="1.18864829396325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AC5-499B-967B-163B4AE34D49}"/>
                </c:ext>
              </c:extLst>
            </c:dLbl>
            <c:dLbl>
              <c:idx val="2"/>
              <c:layout>
                <c:manualLayout>
                  <c:x val="-2.9937664041994751E-2"/>
                  <c:y val="5.81827792359288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C5-499B-967B-163B4AE34D4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R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Smrtnost!$Z$41:$Z$51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Smrtnost!$AA$41:$AA$51</c:f>
              <c:numCache>
                <c:formatCode>General</c:formatCode>
                <c:ptCount val="11"/>
                <c:pt idx="0">
                  <c:v>12.9</c:v>
                </c:pt>
                <c:pt idx="1">
                  <c:v>2.4</c:v>
                </c:pt>
                <c:pt idx="2">
                  <c:v>5.8</c:v>
                </c:pt>
                <c:pt idx="3">
                  <c:v>9.1999999999999993</c:v>
                </c:pt>
                <c:pt idx="4">
                  <c:v>2.7</c:v>
                </c:pt>
                <c:pt idx="5">
                  <c:v>8.9</c:v>
                </c:pt>
                <c:pt idx="6">
                  <c:v>6</c:v>
                </c:pt>
                <c:pt idx="7">
                  <c:v>6.1</c:v>
                </c:pt>
                <c:pt idx="8">
                  <c:v>6.7</c:v>
                </c:pt>
                <c:pt idx="9">
                  <c:v>7.1</c:v>
                </c:pt>
                <c:pt idx="10">
                  <c:v>3.8</c:v>
                </c:pt>
              </c:numCache>
            </c:numRef>
          </c:val>
          <c:smooth val="0"/>
          <c:extLst>
            <c:ext xmlns:c16="http://schemas.microsoft.com/office/drawing/2014/chart" uri="{C3380CC4-5D6E-409C-BE32-E72D297353CC}">
              <c16:uniqueId val="{00000002-9AC5-499B-967B-163B4AE34D49}"/>
            </c:ext>
          </c:extLst>
        </c:ser>
        <c:ser>
          <c:idx val="1"/>
          <c:order val="1"/>
          <c:tx>
            <c:strRef>
              <c:f>Smrtnost!$AB$40</c:f>
              <c:strCache>
                <c:ptCount val="1"/>
                <c:pt idx="0">
                  <c:v>Србија-југ</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2"/>
              <c:layout>
                <c:manualLayout>
                  <c:x val="-4.1048775153105864E-2"/>
                  <c:y val="-4.42938903470399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AC5-499B-967B-163B4AE34D49}"/>
                </c:ext>
              </c:extLst>
            </c:dLbl>
            <c:dLbl>
              <c:idx val="10"/>
              <c:layout>
                <c:manualLayout>
                  <c:x val="-4.1048775153105961E-2"/>
                  <c:y val="-3.50346310877807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AC5-499B-967B-163B4AE34D4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R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Smrtnost!$Z$41:$Z$51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Smrtnost!$AB$41:$AB$51</c:f>
              <c:numCache>
                <c:formatCode>0.0</c:formatCode>
                <c:ptCount val="11"/>
                <c:pt idx="0">
                  <c:v>8.25</c:v>
                </c:pt>
                <c:pt idx="1">
                  <c:v>7.4</c:v>
                </c:pt>
                <c:pt idx="2">
                  <c:v>6.75</c:v>
                </c:pt>
                <c:pt idx="3">
                  <c:v>7.4499999999999993</c:v>
                </c:pt>
                <c:pt idx="4">
                  <c:v>7.0500000000000007</c:v>
                </c:pt>
                <c:pt idx="5">
                  <c:v>5.85</c:v>
                </c:pt>
                <c:pt idx="6">
                  <c:v>5.65</c:v>
                </c:pt>
                <c:pt idx="7">
                  <c:v>5.3000000000000007</c:v>
                </c:pt>
                <c:pt idx="8">
                  <c:v>6.1999999999999993</c:v>
                </c:pt>
                <c:pt idx="9">
                  <c:v>5.65</c:v>
                </c:pt>
                <c:pt idx="10">
                  <c:v>6.4</c:v>
                </c:pt>
              </c:numCache>
            </c:numRef>
          </c:val>
          <c:smooth val="0"/>
          <c:extLst>
            <c:ext xmlns:c16="http://schemas.microsoft.com/office/drawing/2014/chart" uri="{C3380CC4-5D6E-409C-BE32-E72D297353CC}">
              <c16:uniqueId val="{00000005-9AC5-499B-967B-163B4AE34D49}"/>
            </c:ext>
          </c:extLst>
        </c:ser>
        <c:dLbls>
          <c:showLegendKey val="0"/>
          <c:showVal val="0"/>
          <c:showCatName val="0"/>
          <c:showSerName val="0"/>
          <c:showPercent val="0"/>
          <c:showBubbleSize val="0"/>
        </c:dLbls>
        <c:marker val="1"/>
        <c:smooth val="0"/>
        <c:axId val="81992368"/>
        <c:axId val="82001104"/>
      </c:lineChart>
      <c:catAx>
        <c:axId val="8199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RS"/>
          </a:p>
        </c:txPr>
        <c:crossAx val="82001104"/>
        <c:crosses val="autoZero"/>
        <c:auto val="1"/>
        <c:lblAlgn val="ctr"/>
        <c:lblOffset val="100"/>
        <c:noMultiLvlLbl val="0"/>
      </c:catAx>
      <c:valAx>
        <c:axId val="82001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RS"/>
          </a:p>
        </c:txPr>
        <c:crossAx val="8199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1A336CCEFF214494797E5BB79162B8" ma:contentTypeVersion="12" ma:contentTypeDescription="Create a new document." ma:contentTypeScope="" ma:versionID="79008e3f376eaef897f4c7a7fa3ad5aa">
  <xsd:schema xmlns:xsd="http://www.w3.org/2001/XMLSchema" xmlns:xs="http://www.w3.org/2001/XMLSchema" xmlns:p="http://schemas.microsoft.com/office/2006/metadata/properties" xmlns:ns2="63dd2753-8875-4d2e-8ba6-fd14822bbc7a" xmlns:ns3="01978329-ac0a-4147-87e8-31313703e7e2" targetNamespace="http://schemas.microsoft.com/office/2006/metadata/properties" ma:root="true" ma:fieldsID="a07209d5f07374f1af59ead9b161cd38" ns2:_="" ns3:_="">
    <xsd:import namespace="63dd2753-8875-4d2e-8ba6-fd14822bbc7a"/>
    <xsd:import namespace="01978329-ac0a-4147-87e8-31313703e7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d2753-8875-4d2e-8ba6-fd14822bb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978329-ac0a-4147-87e8-31313703e7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680A0D-9F92-4088-92C1-56AD0AF1C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d2753-8875-4d2e-8ba6-fd14822bbc7a"/>
    <ds:schemaRef ds:uri="01978329-ac0a-4147-87e8-31313703e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41D9AA-4D98-4440-B21A-F00A7C10D8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13A254-86D5-4D40-8668-05687126CF3B}">
  <ds:schemaRefs>
    <ds:schemaRef ds:uri="http://schemas.openxmlformats.org/officeDocument/2006/bibliography"/>
  </ds:schemaRefs>
</ds:datastoreItem>
</file>

<file path=customXml/itemProps4.xml><?xml version="1.0" encoding="utf-8"?>
<ds:datastoreItem xmlns:ds="http://schemas.openxmlformats.org/officeDocument/2006/customXml" ds:itemID="{0905346E-104E-4D2D-88E2-C564D3D58E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16</Pages>
  <Words>4583</Words>
  <Characters>26129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Matković</dc:creator>
  <cp:keywords/>
  <dc:description/>
  <cp:lastModifiedBy>Recezent</cp:lastModifiedBy>
  <cp:revision>20</cp:revision>
  <dcterms:created xsi:type="dcterms:W3CDTF">2022-09-14T13:15:00Z</dcterms:created>
  <dcterms:modified xsi:type="dcterms:W3CDTF">2022-11-27T18:57:00Z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0x010100B61A336CCEFF214494797E5BB79162B8</vt:lpwstr>
  </property>
</Properties>
</file>