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ahoma" w:hAnsi="Tahoma" w:cs="Tahoma"/>
        </w:rPr>
        <w:id w:val="1304275680"/>
        <w:docPartObj>
          <w:docPartGallery w:val="Cover Pages"/>
          <w:docPartUnique/>
        </w:docPartObj>
      </w:sdtPr>
      <w:sdtEndPr/>
      <w:sdtContent>
        <w:p w14:paraId="59C3EA2C" w14:textId="77777777" w:rsidR="007A2F18" w:rsidRPr="00F82A7F" w:rsidRDefault="007A2F18" w:rsidP="00FA547A">
          <w:pPr>
            <w:spacing w:after="120"/>
            <w:jc w:val="both"/>
            <w:rPr>
              <w:rFonts w:ascii="Tahoma" w:hAnsi="Tahoma" w:cs="Tahoma"/>
            </w:rPr>
          </w:pPr>
          <w:r w:rsidRPr="00F82A7F">
            <w:rPr>
              <w:rFonts w:ascii="Tahoma" w:hAnsi="Tahoma" w:cs="Tahoma"/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A6B71EE" wp14:editId="56FE66D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FDEE8F2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F82A7F"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8BCA1E8" wp14:editId="779C283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C2AF1B" w14:textId="77777777" w:rsidR="00A5283F" w:rsidRDefault="009E4448" w:rsidP="007A2F18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A5283F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65C46D7B" w14:textId="77777777" w:rsidR="00A5283F" w:rsidRDefault="00A5283F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78BCA1E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left:0;text-align:left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p w14:paraId="36C2AF1B" w14:textId="77777777" w:rsidR="00A5283F" w:rsidRDefault="009E4448" w:rsidP="007A2F18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A5283F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5C46D7B" w14:textId="77777777" w:rsidR="00A5283F" w:rsidRDefault="00A5283F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F82A7F"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CC04F74" wp14:editId="38B4DDE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5D083380" w14:textId="77777777" w:rsidR="00A5283F" w:rsidRDefault="00A5283F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3CC04F74" id="Text Box 153" o:spid="_x0000_s1027" type="#_x0000_t202" style="position:absolute;left:0;text-align:left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5D083380" w14:textId="77777777" w:rsidR="00A5283F" w:rsidRDefault="00A5283F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BFB90F8" w14:textId="77777777" w:rsidR="007A2F18" w:rsidRPr="00F82A7F" w:rsidRDefault="007A2F18" w:rsidP="00FA547A">
          <w:pPr>
            <w:spacing w:after="120"/>
            <w:jc w:val="both"/>
            <w:rPr>
              <w:rFonts w:ascii="Tahoma" w:hAnsi="Tahoma" w:cs="Tahoma"/>
            </w:rPr>
          </w:pPr>
          <w:r w:rsidRPr="00F82A7F"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DB18258" wp14:editId="6DE22FE0">
                    <wp:simplePos x="0" y="0"/>
                    <wp:positionH relativeFrom="page">
                      <wp:posOffset>227965</wp:posOffset>
                    </wp:positionH>
                    <wp:positionV relativeFrom="page">
                      <wp:posOffset>2517790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683E3D" w14:textId="77777777" w:rsidR="00A5283F" w:rsidRPr="00E11185" w:rsidRDefault="009E4448" w:rsidP="007A2F18">
                                <w:pPr>
                                  <w:jc w:val="right"/>
                                  <w:rPr>
                                    <w:noProof/>
                                    <w:color w:val="5B9BD5" w:themeColor="accent1"/>
                                    <w:sz w:val="64"/>
                                    <w:szCs w:val="64"/>
                                    <w:lang w:val="sr-Cyrl-BA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noProof/>
                                      <w:color w:val="5B9BD5" w:themeColor="accent1"/>
                                      <w:sz w:val="64"/>
                                      <w:szCs w:val="64"/>
                                      <w:lang w:val="sr-Cyrl-BA"/>
                                    </w:rPr>
                                    <w:alias w:val="Title"/>
                                    <w:tag w:val=""/>
                                    <w:id w:val="63014107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A5283F">
                                      <w:rPr>
                                        <w:caps/>
                                        <w:noProof/>
                                        <w:color w:val="5B9BD5" w:themeColor="accent1"/>
                                        <w:sz w:val="64"/>
                                        <w:szCs w:val="64"/>
                                        <w:lang w:val="sr-Cyrl-BA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60289D9F" w14:textId="77777777" w:rsidR="00A5283F" w:rsidRPr="00E11185" w:rsidRDefault="009E4448" w:rsidP="007A2F18">
                                <w:pPr>
                                  <w:jc w:val="right"/>
                                  <w:rPr>
                                    <w:noProof/>
                                    <w:color w:val="5B9BD5" w:themeColor="accent1"/>
                                    <w:sz w:val="64"/>
                                    <w:szCs w:val="64"/>
                                    <w:lang w:val="sr-Cyrl-BA"/>
                                  </w:rPr>
                                </w:pPr>
                                <w:sdt>
                                  <w:sdtPr>
                                    <w:rPr>
                                      <w:rStyle w:val="Heading1Char"/>
                                      <w:noProof/>
                                      <w:lang w:val="sr-Cyrl-BA"/>
                                    </w:rPr>
                                    <w:alias w:val="Subtitle"/>
                                    <w:tag w:val=""/>
                                    <w:id w:val="175955150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Heading1Char"/>
                                    </w:rPr>
                                  </w:sdtEndPr>
                                  <w:sdtContent>
                                    <w:r w:rsidR="00A5283F">
                                      <w:rPr>
                                        <w:rStyle w:val="Heading1Char"/>
                                        <w:noProof/>
                                        <w:lang w:val="sr-Cyrl-BA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A5283F" w:rsidRPr="007A2F18">
                                  <w:rPr>
                                    <w:caps/>
                                    <w:noProof/>
                                    <w:color w:val="5B9BD5" w:themeColor="accent1"/>
                                    <w:sz w:val="64"/>
                                    <w:szCs w:val="64"/>
                                    <w:lang w:val="sr-Cyrl-BA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caps/>
                                      <w:noProof/>
                                      <w:color w:val="5B9BD5" w:themeColor="accent1"/>
                                      <w:sz w:val="64"/>
                                      <w:szCs w:val="64"/>
                                      <w:lang w:val="sr-Cyrl-BA"/>
                                    </w:rPr>
                                    <w:alias w:val="Title"/>
                                    <w:tag w:val=""/>
                                    <w:id w:val="111896479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A5283F">
                                      <w:rPr>
                                        <w:caps/>
                                        <w:noProof/>
                                        <w:color w:val="5B9BD5" w:themeColor="accent1"/>
                                        <w:sz w:val="64"/>
                                        <w:szCs w:val="64"/>
                                        <w:lang w:val="sr-Cyrl-BA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1133D972" w14:textId="77777777" w:rsidR="00A5283F" w:rsidRPr="00E11185" w:rsidRDefault="009E4448" w:rsidP="007A2F18">
                                <w:pPr>
                                  <w:jc w:val="right"/>
                                  <w:rPr>
                                    <w:noProof/>
                                    <w:color w:val="5B9BD5" w:themeColor="accent1"/>
                                    <w:sz w:val="64"/>
                                    <w:szCs w:val="64"/>
                                    <w:lang w:val="sr-Cyrl-BA"/>
                                  </w:rPr>
                                </w:pPr>
                                <w:sdt>
                                  <w:sdtPr>
                                    <w:rPr>
                                      <w:rStyle w:val="Heading1Char"/>
                                      <w:noProof/>
                                      <w:lang w:val="sr-Cyrl-BA"/>
                                    </w:rPr>
                                    <w:alias w:val="Subtitle"/>
                                    <w:tag w:val=""/>
                                    <w:id w:val="-277104898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Heading1Char"/>
                                    </w:rPr>
                                  </w:sdtEndPr>
                                  <w:sdtContent>
                                    <w:r w:rsidR="00A5283F">
                                      <w:rPr>
                                        <w:rStyle w:val="Heading1Char"/>
                                        <w:noProof/>
                                        <w:lang w:val="sr-Cyrl-BA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A5283F" w:rsidRPr="007A2F18">
                                  <w:rPr>
                                    <w:caps/>
                                    <w:noProof/>
                                    <w:color w:val="5B9BD5" w:themeColor="accent1"/>
                                    <w:sz w:val="64"/>
                                    <w:szCs w:val="64"/>
                                    <w:lang w:val="sr-Cyrl-BA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caps/>
                                      <w:noProof/>
                                      <w:color w:val="5B9BD5" w:themeColor="accent1"/>
                                      <w:sz w:val="64"/>
                                      <w:szCs w:val="64"/>
                                      <w:lang w:val="sr-Cyrl-BA"/>
                                    </w:rPr>
                                    <w:alias w:val="Title"/>
                                    <w:tag w:val=""/>
                                    <w:id w:val="1168745746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A5283F">
                                      <w:rPr>
                                        <w:caps/>
                                        <w:noProof/>
                                        <w:color w:val="5B9BD5" w:themeColor="accent1"/>
                                        <w:sz w:val="64"/>
                                        <w:szCs w:val="64"/>
                                        <w:lang w:val="sr-Cyrl-BA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120AF4F3" w14:textId="46435E79" w:rsidR="00A5283F" w:rsidRPr="00CE69AC" w:rsidRDefault="00DB5A21" w:rsidP="00CE69AC">
                                <w:pPr>
                                  <w:jc w:val="right"/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40"/>
                                    <w:szCs w:val="40"/>
                                    <w:lang w:val="sr-Cyrl-RS"/>
                                  </w:rPr>
                                </w:pPr>
                                <w:r w:rsidRPr="00CE69AC"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40"/>
                                    <w:szCs w:val="40"/>
                                    <w:lang w:val="sr-Cyrl-RS"/>
                                  </w:rPr>
                                  <w:t xml:space="preserve">Анализа финансијског </w:t>
                                </w:r>
                                <w:r w:rsidR="00CE69AC" w:rsidRPr="00CE69AC"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40"/>
                                    <w:szCs w:val="40"/>
                                    <w:lang w:val="sr-Cyrl-RS"/>
                                  </w:rPr>
                                  <w:t>к</w:t>
                                </w:r>
                                <w:r w:rsidRPr="00CE69AC"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40"/>
                                    <w:szCs w:val="40"/>
                                    <w:lang w:val="sr-Cyrl-RS"/>
                                  </w:rPr>
                                  <w:t>а</w:t>
                                </w:r>
                                <w:r w:rsidR="00CE69AC"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40"/>
                                    <w:szCs w:val="40"/>
                                    <w:lang w:val="sr-Cyrl-RS"/>
                                  </w:rPr>
                                  <w:t>па</w:t>
                                </w:r>
                                <w:r w:rsidRPr="00CE69AC"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40"/>
                                    <w:szCs w:val="40"/>
                                    <w:lang w:val="sr-Cyrl-RS"/>
                                  </w:rPr>
                                  <w:t>цитета</w:t>
                                </w:r>
                              </w:p>
                              <w:p w14:paraId="16D0A9B1" w14:textId="32597BC5" w:rsidR="00DB5A21" w:rsidRPr="007E40B1" w:rsidRDefault="00F85BDF" w:rsidP="007A2F18">
                                <w:pPr>
                                  <w:jc w:val="right"/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40"/>
                                    <w:szCs w:val="40"/>
                                    <w:lang w:val="sr-Cyrl-RS"/>
                                  </w:rPr>
                                  <w:t xml:space="preserve">општине </w:t>
                                </w:r>
                                <w:r w:rsidR="006A1342"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40"/>
                                    <w:szCs w:val="40"/>
                                    <w:lang w:val="sr-Cyrl-RS"/>
                                  </w:rPr>
                                  <w:t>Смедеревска Паланка</w:t>
                                </w:r>
                              </w:p>
                              <w:p w14:paraId="4CC5A71B" w14:textId="46546A5F" w:rsidR="005E0169" w:rsidRDefault="005E0169" w:rsidP="007E40B1">
                                <w:pPr>
                                  <w:pStyle w:val="ListParagraph"/>
                                  <w:jc w:val="right"/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24"/>
                                    <w:szCs w:val="24"/>
                                    <w:lang w:val="sr-Cyrl-RS"/>
                                  </w:rPr>
                                </w:pPr>
                                <w:r w:rsidRPr="00CE69AC"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24"/>
                                    <w:szCs w:val="24"/>
                                    <w:lang w:val="sr-Cyrl-RS"/>
                                  </w:rPr>
                                  <w:t xml:space="preserve">    </w:t>
                                </w:r>
                                <w:r w:rsidR="00F85BDF"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24"/>
                                    <w:szCs w:val="24"/>
                                    <w:lang w:val="sr-Cyrl-RS"/>
                                  </w:rPr>
                                  <w:t xml:space="preserve"> </w:t>
                                </w:r>
                                <w:r w:rsidRPr="00CE69AC"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24"/>
                                    <w:szCs w:val="24"/>
                                    <w:lang w:val="sr-Cyrl-RS"/>
                                  </w:rPr>
                                  <w:t xml:space="preserve"> за потребе израде плана развоја </w:t>
                                </w:r>
                                <w:r w:rsidR="00F85BDF"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24"/>
                                    <w:szCs w:val="24"/>
                                    <w:lang w:val="sr-Cyrl-RS"/>
                                  </w:rPr>
                                  <w:t>општине</w:t>
                                </w:r>
                                <w:r w:rsidRPr="00CE69AC"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24"/>
                                    <w:szCs w:val="24"/>
                                    <w:lang w:val="sr-Cyrl-RS"/>
                                  </w:rPr>
                                  <w:t xml:space="preserve"> </w:t>
                                </w:r>
                              </w:p>
                              <w:p w14:paraId="171B04C3" w14:textId="1DA9201D" w:rsidR="000F29EB" w:rsidRPr="00B501ED" w:rsidRDefault="000F29EB" w:rsidP="007E40B1">
                                <w:pPr>
                                  <w:pStyle w:val="ListParagraph"/>
                                  <w:jc w:val="right"/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24"/>
                                    <w:szCs w:val="24"/>
                                    <w:lang w:val="sr-Cyrl-RS"/>
                                  </w:rPr>
                                  <w:t>20</w:t>
                                </w:r>
                                <w:r w:rsidR="00742EB4"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24"/>
                                    <w:szCs w:val="24"/>
                                    <w:lang w:val="sr-Cyrl-RS"/>
                                  </w:rPr>
                                  <w:t>2</w:t>
                                </w:r>
                                <w:r w:rsidR="004B6227"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24"/>
                                    <w:szCs w:val="24"/>
                                    <w:lang w:val="sr-Cyrl-RS"/>
                                  </w:rPr>
                                  <w:t>3</w:t>
                                </w:r>
                                <w:r w:rsidR="00742EB4"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24"/>
                                    <w:szCs w:val="24"/>
                                    <w:lang w:val="sr-Cyrl-RS"/>
                                  </w:rPr>
                                  <w:t>-203</w:t>
                                </w:r>
                                <w:r w:rsidR="006A1342">
                                  <w:rPr>
                                    <w:rStyle w:val="Heading1Char"/>
                                    <w:rFonts w:ascii="Tahoma" w:hAnsi="Tahoma" w:cs="Tahoma"/>
                                    <w:b/>
                                    <w:noProof/>
                                    <w:sz w:val="24"/>
                                    <w:szCs w:val="24"/>
                                    <w:lang w:val="sr-Cyrl-R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0DB18258" id="Text Box 154" o:spid="_x0000_s1028" type="#_x0000_t202" style="position:absolute;left:0;text-align:left;margin-left:17.95pt;margin-top:198.25pt;width:8in;height:286.5pt;z-index:251659264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" filled="f" stroked="f" strokeweight=".5pt">
                    <v:textbox inset="126pt,0,54pt,0">
                      <w:txbxContent>
                        <w:p w14:paraId="5E683E3D" w14:textId="77777777" w:rsidR="00A5283F" w:rsidRPr="00E11185" w:rsidRDefault="009E4448" w:rsidP="007A2F18">
                          <w:pPr>
                            <w:jc w:val="right"/>
                            <w:rPr>
                              <w:noProof/>
                              <w:color w:val="5B9BD5" w:themeColor="accent1"/>
                              <w:sz w:val="64"/>
                              <w:szCs w:val="64"/>
                              <w:lang w:val="sr-Cyrl-BA"/>
                            </w:rPr>
                          </w:pPr>
                          <w:sdt>
                            <w:sdtPr>
                              <w:rPr>
                                <w:caps/>
                                <w:noProof/>
                                <w:color w:val="5B9BD5" w:themeColor="accent1"/>
                                <w:sz w:val="64"/>
                                <w:szCs w:val="64"/>
                                <w:lang w:val="sr-Cyrl-BA"/>
                              </w:rPr>
                              <w:alias w:val="Title"/>
                              <w:tag w:val=""/>
                              <w:id w:val="63014107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A5283F">
                                <w:rPr>
                                  <w:caps/>
                                  <w:noProof/>
                                  <w:color w:val="5B9BD5" w:themeColor="accent1"/>
                                  <w:sz w:val="64"/>
                                  <w:szCs w:val="64"/>
                                  <w:lang w:val="sr-Cyrl-BA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0289D9F" w14:textId="77777777" w:rsidR="00A5283F" w:rsidRPr="00E11185" w:rsidRDefault="009E4448" w:rsidP="007A2F18">
                          <w:pPr>
                            <w:jc w:val="right"/>
                            <w:rPr>
                              <w:noProof/>
                              <w:color w:val="5B9BD5" w:themeColor="accent1"/>
                              <w:sz w:val="64"/>
                              <w:szCs w:val="64"/>
                              <w:lang w:val="sr-Cyrl-BA"/>
                            </w:rPr>
                          </w:pPr>
                          <w:sdt>
                            <w:sdtPr>
                              <w:rPr>
                                <w:rStyle w:val="Heading1Char"/>
                                <w:noProof/>
                                <w:lang w:val="sr-Cyrl-BA"/>
                              </w:rPr>
                              <w:alias w:val="Subtitle"/>
                              <w:tag w:val=""/>
                              <w:id w:val="175955150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>
                              <w:rPr>
                                <w:rStyle w:val="Heading1Char"/>
                              </w:rPr>
                            </w:sdtEndPr>
                            <w:sdtContent>
                              <w:r w:rsidR="00A5283F">
                                <w:rPr>
                                  <w:rStyle w:val="Heading1Char"/>
                                  <w:noProof/>
                                  <w:lang w:val="sr-Cyrl-BA"/>
                                </w:rPr>
                                <w:t xml:space="preserve">     </w:t>
                              </w:r>
                            </w:sdtContent>
                          </w:sdt>
                          <w:r w:rsidR="00A5283F" w:rsidRPr="007A2F18">
                            <w:rPr>
                              <w:caps/>
                              <w:noProof/>
                              <w:color w:val="5B9BD5" w:themeColor="accent1"/>
                              <w:sz w:val="64"/>
                              <w:szCs w:val="64"/>
                              <w:lang w:val="sr-Cyrl-BA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aps/>
                                <w:noProof/>
                                <w:color w:val="5B9BD5" w:themeColor="accent1"/>
                                <w:sz w:val="64"/>
                                <w:szCs w:val="64"/>
                                <w:lang w:val="sr-Cyrl-BA"/>
                              </w:rPr>
                              <w:alias w:val="Title"/>
                              <w:tag w:val=""/>
                              <w:id w:val="111896479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A5283F">
                                <w:rPr>
                                  <w:caps/>
                                  <w:noProof/>
                                  <w:color w:val="5B9BD5" w:themeColor="accent1"/>
                                  <w:sz w:val="64"/>
                                  <w:szCs w:val="64"/>
                                  <w:lang w:val="sr-Cyrl-BA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1133D972" w14:textId="77777777" w:rsidR="00A5283F" w:rsidRPr="00E11185" w:rsidRDefault="009E4448" w:rsidP="007A2F18">
                          <w:pPr>
                            <w:jc w:val="right"/>
                            <w:rPr>
                              <w:noProof/>
                              <w:color w:val="5B9BD5" w:themeColor="accent1"/>
                              <w:sz w:val="64"/>
                              <w:szCs w:val="64"/>
                              <w:lang w:val="sr-Cyrl-BA"/>
                            </w:rPr>
                          </w:pPr>
                          <w:sdt>
                            <w:sdtPr>
                              <w:rPr>
                                <w:rStyle w:val="Heading1Char"/>
                                <w:noProof/>
                                <w:lang w:val="sr-Cyrl-BA"/>
                              </w:rPr>
                              <w:alias w:val="Subtitle"/>
                              <w:tag w:val=""/>
                              <w:id w:val="-27710489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>
                              <w:rPr>
                                <w:rStyle w:val="Heading1Char"/>
                              </w:rPr>
                            </w:sdtEndPr>
                            <w:sdtContent>
                              <w:r w:rsidR="00A5283F">
                                <w:rPr>
                                  <w:rStyle w:val="Heading1Char"/>
                                  <w:noProof/>
                                  <w:lang w:val="sr-Cyrl-BA"/>
                                </w:rPr>
                                <w:t xml:space="preserve">     </w:t>
                              </w:r>
                            </w:sdtContent>
                          </w:sdt>
                          <w:r w:rsidR="00A5283F" w:rsidRPr="007A2F18">
                            <w:rPr>
                              <w:caps/>
                              <w:noProof/>
                              <w:color w:val="5B9BD5" w:themeColor="accent1"/>
                              <w:sz w:val="64"/>
                              <w:szCs w:val="64"/>
                              <w:lang w:val="sr-Cyrl-BA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aps/>
                                <w:noProof/>
                                <w:color w:val="5B9BD5" w:themeColor="accent1"/>
                                <w:sz w:val="64"/>
                                <w:szCs w:val="64"/>
                                <w:lang w:val="sr-Cyrl-BA"/>
                              </w:rPr>
                              <w:alias w:val="Title"/>
                              <w:tag w:val=""/>
                              <w:id w:val="116874574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A5283F">
                                <w:rPr>
                                  <w:caps/>
                                  <w:noProof/>
                                  <w:color w:val="5B9BD5" w:themeColor="accent1"/>
                                  <w:sz w:val="64"/>
                                  <w:szCs w:val="64"/>
                                  <w:lang w:val="sr-Cyrl-BA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120AF4F3" w14:textId="46435E79" w:rsidR="00A5283F" w:rsidRPr="00CE69AC" w:rsidRDefault="00DB5A21" w:rsidP="00CE69AC">
                          <w:pPr>
                            <w:jc w:val="right"/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40"/>
                              <w:szCs w:val="40"/>
                              <w:lang w:val="sr-Cyrl-RS"/>
                            </w:rPr>
                          </w:pPr>
                          <w:r w:rsidRPr="00CE69AC"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40"/>
                              <w:szCs w:val="40"/>
                              <w:lang w:val="sr-Cyrl-RS"/>
                            </w:rPr>
                            <w:t xml:space="preserve">Анализа финансијског </w:t>
                          </w:r>
                          <w:r w:rsidR="00CE69AC" w:rsidRPr="00CE69AC"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40"/>
                              <w:szCs w:val="40"/>
                              <w:lang w:val="sr-Cyrl-RS"/>
                            </w:rPr>
                            <w:t>к</w:t>
                          </w:r>
                          <w:r w:rsidRPr="00CE69AC"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40"/>
                              <w:szCs w:val="40"/>
                              <w:lang w:val="sr-Cyrl-RS"/>
                            </w:rPr>
                            <w:t>а</w:t>
                          </w:r>
                          <w:r w:rsidR="00CE69AC"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40"/>
                              <w:szCs w:val="40"/>
                              <w:lang w:val="sr-Cyrl-RS"/>
                            </w:rPr>
                            <w:t>па</w:t>
                          </w:r>
                          <w:r w:rsidRPr="00CE69AC"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40"/>
                              <w:szCs w:val="40"/>
                              <w:lang w:val="sr-Cyrl-RS"/>
                            </w:rPr>
                            <w:t>цитета</w:t>
                          </w:r>
                        </w:p>
                        <w:p w14:paraId="16D0A9B1" w14:textId="32597BC5" w:rsidR="00DB5A21" w:rsidRPr="007E40B1" w:rsidRDefault="00F85BDF" w:rsidP="007A2F18">
                          <w:pPr>
                            <w:jc w:val="right"/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40"/>
                              <w:szCs w:val="40"/>
                              <w:lang w:val="sr-Cyrl-RS"/>
                            </w:rPr>
                            <w:t xml:space="preserve">општине </w:t>
                          </w:r>
                          <w:r w:rsidR="006A1342"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40"/>
                              <w:szCs w:val="40"/>
                              <w:lang w:val="sr-Cyrl-RS"/>
                            </w:rPr>
                            <w:t>Смедеревска Паланка</w:t>
                          </w:r>
                        </w:p>
                        <w:p w14:paraId="4CC5A71B" w14:textId="46546A5F" w:rsidR="005E0169" w:rsidRDefault="005E0169" w:rsidP="007E40B1">
                          <w:pPr>
                            <w:pStyle w:val="ListParagraph"/>
                            <w:jc w:val="right"/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24"/>
                              <w:szCs w:val="24"/>
                              <w:lang w:val="sr-Cyrl-RS"/>
                            </w:rPr>
                          </w:pPr>
                          <w:r w:rsidRPr="00CE69AC"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24"/>
                              <w:szCs w:val="24"/>
                              <w:lang w:val="sr-Cyrl-RS"/>
                            </w:rPr>
                            <w:t xml:space="preserve">    </w:t>
                          </w:r>
                          <w:r w:rsidR="00F85BDF"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24"/>
                              <w:szCs w:val="24"/>
                              <w:lang w:val="sr-Cyrl-RS"/>
                            </w:rPr>
                            <w:t xml:space="preserve"> </w:t>
                          </w:r>
                          <w:r w:rsidRPr="00CE69AC"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24"/>
                              <w:szCs w:val="24"/>
                              <w:lang w:val="sr-Cyrl-RS"/>
                            </w:rPr>
                            <w:t xml:space="preserve"> за потребе израде плана развоја </w:t>
                          </w:r>
                          <w:r w:rsidR="00F85BDF"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24"/>
                              <w:szCs w:val="24"/>
                              <w:lang w:val="sr-Cyrl-RS"/>
                            </w:rPr>
                            <w:t>општине</w:t>
                          </w:r>
                          <w:r w:rsidRPr="00CE69AC"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24"/>
                              <w:szCs w:val="24"/>
                              <w:lang w:val="sr-Cyrl-RS"/>
                            </w:rPr>
                            <w:t xml:space="preserve"> </w:t>
                          </w:r>
                        </w:p>
                        <w:p w14:paraId="171B04C3" w14:textId="1DA9201D" w:rsidR="000F29EB" w:rsidRPr="00B501ED" w:rsidRDefault="000F29EB" w:rsidP="007E40B1">
                          <w:pPr>
                            <w:pStyle w:val="ListParagraph"/>
                            <w:jc w:val="right"/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24"/>
                              <w:szCs w:val="24"/>
                              <w:lang w:val="sr-Cyrl-RS"/>
                            </w:rPr>
                            <w:t>20</w:t>
                          </w:r>
                          <w:r w:rsidR="00742EB4"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24"/>
                              <w:szCs w:val="24"/>
                              <w:lang w:val="sr-Cyrl-RS"/>
                            </w:rPr>
                            <w:t>2</w:t>
                          </w:r>
                          <w:r w:rsidR="004B6227"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24"/>
                              <w:szCs w:val="24"/>
                              <w:lang w:val="sr-Cyrl-RS"/>
                            </w:rPr>
                            <w:t>3</w:t>
                          </w:r>
                          <w:r w:rsidR="00742EB4"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24"/>
                              <w:szCs w:val="24"/>
                              <w:lang w:val="sr-Cyrl-RS"/>
                            </w:rPr>
                            <w:t>-203</w:t>
                          </w:r>
                          <w:r w:rsidR="006A1342">
                            <w:rPr>
                              <w:rStyle w:val="Heading1Char"/>
                              <w:rFonts w:ascii="Tahoma" w:hAnsi="Tahoma" w:cs="Tahoma"/>
                              <w:b/>
                              <w:noProof/>
                              <w:sz w:val="24"/>
                              <w:szCs w:val="24"/>
                              <w:lang w:val="sr-Cyrl-RS"/>
                            </w:rPr>
                            <w:t>0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F82A7F">
            <w:rPr>
              <w:rFonts w:ascii="Tahoma" w:hAnsi="Tahoma" w:cs="Tahoma"/>
            </w:rPr>
            <w:br w:type="page"/>
          </w:r>
        </w:p>
      </w:sdtContent>
    </w:sdt>
    <w:p w14:paraId="19BC05D5" w14:textId="58FFA74E" w:rsidR="007E40B1" w:rsidRDefault="008B2098" w:rsidP="006629B3">
      <w:pPr>
        <w:pStyle w:val="Heading3"/>
        <w:rPr>
          <w:rStyle w:val="Heading1Char"/>
          <w:rFonts w:ascii="Tahoma" w:hAnsi="Tahoma" w:cs="Tahoma"/>
          <w:b/>
          <w:bCs/>
          <w:noProof/>
          <w:sz w:val="28"/>
          <w:szCs w:val="28"/>
          <w:lang w:val="sr-Cyrl-RS"/>
        </w:rPr>
      </w:pPr>
      <w:bookmarkStart w:id="0" w:name="_Toc68946202"/>
      <w:r w:rsidRPr="00F86AE5">
        <w:rPr>
          <w:rStyle w:val="Heading1Char"/>
          <w:rFonts w:ascii="Tahoma" w:hAnsi="Tahoma" w:cs="Tahoma"/>
          <w:b/>
          <w:bCs/>
          <w:noProof/>
          <w:sz w:val="28"/>
          <w:szCs w:val="28"/>
          <w:lang w:val="en-US"/>
        </w:rPr>
        <w:lastRenderedPageBreak/>
        <w:t>1.</w:t>
      </w:r>
      <w:r w:rsidR="00F64591" w:rsidRPr="00F86AE5">
        <w:rPr>
          <w:rStyle w:val="Heading1Char"/>
          <w:rFonts w:ascii="Tahoma" w:hAnsi="Tahoma" w:cs="Tahoma"/>
          <w:b/>
          <w:bCs/>
          <w:noProof/>
          <w:sz w:val="28"/>
          <w:szCs w:val="28"/>
          <w:lang w:val="sr-Cyrl-RS"/>
        </w:rPr>
        <w:t xml:space="preserve"> </w:t>
      </w:r>
      <w:r w:rsidR="00316D00" w:rsidRPr="00F86AE5">
        <w:rPr>
          <w:rStyle w:val="Heading1Char"/>
          <w:rFonts w:ascii="Tahoma" w:hAnsi="Tahoma" w:cs="Tahoma"/>
          <w:b/>
          <w:bCs/>
          <w:noProof/>
          <w:sz w:val="28"/>
          <w:szCs w:val="28"/>
          <w:lang w:val="sr-Cyrl-RS"/>
        </w:rPr>
        <w:t xml:space="preserve">Анализа </w:t>
      </w:r>
      <w:r w:rsidRPr="00F86AE5">
        <w:rPr>
          <w:rStyle w:val="Heading1Char"/>
          <w:rFonts w:ascii="Tahoma" w:hAnsi="Tahoma" w:cs="Tahoma"/>
          <w:b/>
          <w:bCs/>
          <w:noProof/>
          <w:sz w:val="28"/>
          <w:szCs w:val="28"/>
          <w:lang w:val="sr-Cyrl-RS"/>
        </w:rPr>
        <w:t>процеса буџетирања</w:t>
      </w:r>
      <w:r w:rsidR="00316D00" w:rsidRPr="00F86AE5">
        <w:rPr>
          <w:rStyle w:val="Heading1Char"/>
          <w:rFonts w:ascii="Tahoma" w:hAnsi="Tahoma" w:cs="Tahoma"/>
          <w:b/>
          <w:bCs/>
          <w:noProof/>
          <w:sz w:val="28"/>
          <w:szCs w:val="28"/>
          <w:lang w:val="sr-Cyrl-RS"/>
        </w:rPr>
        <w:t xml:space="preserve"> у </w:t>
      </w:r>
      <w:bookmarkEnd w:id="0"/>
      <w:r w:rsidR="00A87BB2">
        <w:rPr>
          <w:rStyle w:val="Heading1Char"/>
          <w:rFonts w:ascii="Tahoma" w:hAnsi="Tahoma" w:cs="Tahoma"/>
          <w:b/>
          <w:bCs/>
          <w:noProof/>
          <w:sz w:val="28"/>
          <w:szCs w:val="28"/>
          <w:lang w:val="sr-Cyrl-RS"/>
        </w:rPr>
        <w:t xml:space="preserve">општини </w:t>
      </w:r>
      <w:r w:rsidR="00797A2B">
        <w:rPr>
          <w:rStyle w:val="Heading1Char"/>
          <w:rFonts w:ascii="Tahoma" w:hAnsi="Tahoma" w:cs="Tahoma"/>
          <w:b/>
          <w:bCs/>
          <w:noProof/>
          <w:sz w:val="28"/>
          <w:szCs w:val="28"/>
          <w:lang w:val="sr-Cyrl-RS"/>
        </w:rPr>
        <w:t>Смедеревска Паланка</w:t>
      </w:r>
    </w:p>
    <w:p w14:paraId="3A939A80" w14:textId="77777777" w:rsidR="00357896" w:rsidRDefault="00357896" w:rsidP="00602879">
      <w:pPr>
        <w:spacing w:after="160" w:line="259" w:lineRule="auto"/>
        <w:jc w:val="both"/>
        <w:rPr>
          <w:rFonts w:ascii="Tahoma" w:hAnsi="Tahoma" w:cs="Tahoma"/>
          <w:b/>
          <w:bCs/>
          <w:noProof/>
          <w:sz w:val="22"/>
          <w:szCs w:val="22"/>
          <w:lang w:val="sr-Cyrl-BA"/>
        </w:rPr>
      </w:pPr>
    </w:p>
    <w:p w14:paraId="770F536D" w14:textId="173A81D6" w:rsidR="00F64591" w:rsidRPr="00602879" w:rsidRDefault="00316D00" w:rsidP="00602879">
      <w:pPr>
        <w:spacing w:after="160" w:line="259" w:lineRule="auto"/>
        <w:jc w:val="both"/>
        <w:rPr>
          <w:rFonts w:ascii="Tahoma" w:hAnsi="Tahoma" w:cs="Tahoma"/>
          <w:noProof/>
          <w:sz w:val="22"/>
          <w:szCs w:val="22"/>
          <w:lang w:val="sr-Cyrl-BA"/>
        </w:rPr>
      </w:pPr>
      <w:r w:rsidRPr="00602879">
        <w:rPr>
          <w:rFonts w:ascii="Tahoma" w:hAnsi="Tahoma" w:cs="Tahoma"/>
          <w:b/>
          <w:bCs/>
          <w:noProof/>
          <w:sz w:val="22"/>
          <w:szCs w:val="22"/>
          <w:lang w:val="sr-Cyrl-BA"/>
        </w:rPr>
        <w:t xml:space="preserve">Одлуке о буџету </w:t>
      </w:r>
      <w:r w:rsidR="00A87BB2">
        <w:rPr>
          <w:rFonts w:ascii="Tahoma" w:hAnsi="Tahoma" w:cs="Tahoma"/>
          <w:b/>
          <w:bCs/>
          <w:noProof/>
          <w:color w:val="auto"/>
          <w:sz w:val="22"/>
          <w:szCs w:val="22"/>
          <w:lang w:val="sr-Cyrl-BA"/>
        </w:rPr>
        <w:t xml:space="preserve">општине </w:t>
      </w:r>
      <w:r w:rsidR="00797A2B">
        <w:rPr>
          <w:rFonts w:ascii="Tahoma" w:hAnsi="Tahoma" w:cs="Tahoma"/>
          <w:b/>
          <w:bCs/>
          <w:noProof/>
          <w:color w:val="auto"/>
          <w:sz w:val="22"/>
          <w:szCs w:val="22"/>
          <w:lang w:val="sr-Cyrl-BA"/>
        </w:rPr>
        <w:t>Смедеревск</w:t>
      </w:r>
      <w:r w:rsidR="004D05BB">
        <w:rPr>
          <w:rFonts w:ascii="Tahoma" w:hAnsi="Tahoma" w:cs="Tahoma"/>
          <w:b/>
          <w:bCs/>
          <w:noProof/>
          <w:color w:val="auto"/>
          <w:sz w:val="22"/>
          <w:szCs w:val="22"/>
          <w:lang w:val="sr-Cyrl-BA"/>
        </w:rPr>
        <w:t>а Паланка</w:t>
      </w:r>
      <w:r w:rsidRPr="00A87BB2">
        <w:rPr>
          <w:rFonts w:ascii="Tahoma" w:hAnsi="Tahoma" w:cs="Tahoma"/>
          <w:b/>
          <w:bCs/>
          <w:noProof/>
          <w:color w:val="auto"/>
          <w:sz w:val="22"/>
          <w:szCs w:val="22"/>
          <w:lang w:val="sr-Cyrl-BA"/>
        </w:rPr>
        <w:t xml:space="preserve"> </w:t>
      </w:r>
      <w:r w:rsidRPr="00602879">
        <w:rPr>
          <w:rFonts w:ascii="Tahoma" w:hAnsi="Tahoma" w:cs="Tahoma"/>
          <w:b/>
          <w:bCs/>
          <w:noProof/>
          <w:sz w:val="22"/>
          <w:szCs w:val="22"/>
          <w:lang w:val="sr-Cyrl-BA"/>
        </w:rPr>
        <w:t>у буџетским годинама од 201</w:t>
      </w:r>
      <w:r w:rsidR="00CE69AC" w:rsidRPr="00602879">
        <w:rPr>
          <w:rFonts w:ascii="Tahoma" w:hAnsi="Tahoma" w:cs="Tahoma"/>
          <w:b/>
          <w:bCs/>
          <w:noProof/>
          <w:sz w:val="22"/>
          <w:szCs w:val="22"/>
          <w:lang w:val="sr-Cyrl-BA"/>
        </w:rPr>
        <w:t>9</w:t>
      </w:r>
      <w:r w:rsidRPr="00602879">
        <w:rPr>
          <w:rFonts w:ascii="Tahoma" w:hAnsi="Tahoma" w:cs="Tahoma"/>
          <w:b/>
          <w:bCs/>
          <w:noProof/>
          <w:sz w:val="22"/>
          <w:szCs w:val="22"/>
          <w:lang w:val="sr-Cyrl-BA"/>
        </w:rPr>
        <w:t>-2021. године сачињене су, у формалном смислу и процедурално, у складу са Законом о буџетском систему</w:t>
      </w:r>
      <w:r w:rsidR="00D85836">
        <w:rPr>
          <w:rStyle w:val="FootnoteReference"/>
          <w:rFonts w:ascii="Tahoma" w:hAnsi="Tahoma" w:cs="Tahoma"/>
          <w:b/>
          <w:bCs/>
          <w:noProof/>
          <w:sz w:val="22"/>
          <w:szCs w:val="22"/>
          <w:lang w:val="sr-Cyrl-BA"/>
        </w:rPr>
        <w:footnoteReference w:id="1"/>
      </w:r>
      <w:r w:rsidR="00D85836">
        <w:rPr>
          <w:rFonts w:ascii="Tahoma" w:hAnsi="Tahoma" w:cs="Tahoma"/>
          <w:b/>
          <w:bCs/>
          <w:noProof/>
          <w:sz w:val="22"/>
          <w:szCs w:val="22"/>
          <w:lang w:val="en-US"/>
        </w:rPr>
        <w:t>.</w:t>
      </w:r>
      <w:r w:rsidRPr="00602879">
        <w:rPr>
          <w:rFonts w:ascii="Tahoma" w:hAnsi="Tahoma" w:cs="Tahoma"/>
          <w:b/>
          <w:bCs/>
          <w:noProof/>
          <w:sz w:val="22"/>
          <w:szCs w:val="22"/>
          <w:lang w:val="sr-Cyrl-BA"/>
        </w:rPr>
        <w:t xml:space="preserve"> </w:t>
      </w:r>
      <w:r w:rsidR="00D85836">
        <w:rPr>
          <w:rFonts w:ascii="Tahoma" w:hAnsi="Tahoma" w:cs="Tahoma"/>
          <w:b/>
          <w:bCs/>
          <w:noProof/>
          <w:sz w:val="22"/>
          <w:szCs w:val="22"/>
          <w:lang w:val="en-US"/>
        </w:rPr>
        <w:t xml:space="preserve"> </w:t>
      </w:r>
      <w:r w:rsidR="00981C6F" w:rsidRPr="00602879">
        <w:rPr>
          <w:rFonts w:ascii="Tahoma" w:hAnsi="Tahoma" w:cs="Tahoma"/>
          <w:noProof/>
          <w:sz w:val="22"/>
          <w:szCs w:val="22"/>
          <w:lang w:val="sr-Cyrl-BA"/>
        </w:rPr>
        <w:t>У поступку израде одлуке о буџету за наредну годину</w:t>
      </w:r>
      <w:r w:rsidR="00033894">
        <w:rPr>
          <w:rFonts w:ascii="Tahoma" w:hAnsi="Tahoma" w:cs="Tahoma"/>
          <w:noProof/>
          <w:sz w:val="22"/>
          <w:szCs w:val="22"/>
          <w:lang w:val="sr-Cyrl-BA"/>
        </w:rPr>
        <w:t>,</w:t>
      </w:r>
      <w:r w:rsidR="00981C6F"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</w:t>
      </w:r>
      <w:r w:rsidRPr="00602879">
        <w:rPr>
          <w:rFonts w:ascii="Tahoma" w:hAnsi="Tahoma" w:cs="Tahoma"/>
          <w:noProof/>
          <w:sz w:val="22"/>
          <w:szCs w:val="22"/>
          <w:lang w:val="sr-Cyrl-BA"/>
        </w:rPr>
        <w:t>крајњ</w:t>
      </w:r>
      <w:r w:rsidR="00033894">
        <w:rPr>
          <w:rFonts w:ascii="Tahoma" w:hAnsi="Tahoma" w:cs="Tahoma"/>
          <w:noProof/>
          <w:sz w:val="22"/>
          <w:szCs w:val="22"/>
          <w:lang w:val="sr-Cyrl-BA"/>
        </w:rPr>
        <w:t>и</w:t>
      </w:r>
      <w:r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роков</w:t>
      </w:r>
      <w:r w:rsidR="00033894">
        <w:rPr>
          <w:rFonts w:ascii="Tahoma" w:hAnsi="Tahoma" w:cs="Tahoma"/>
          <w:noProof/>
          <w:sz w:val="22"/>
          <w:szCs w:val="22"/>
          <w:lang w:val="sr-Cyrl-BA"/>
        </w:rPr>
        <w:t>и</w:t>
      </w:r>
      <w:r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за израду локалног буџета према „Календару буџета локалне власти“, који је дефинисан чланом 31. Закона о буџетском систему</w:t>
      </w:r>
      <w:r w:rsidR="00033894">
        <w:rPr>
          <w:rFonts w:ascii="Tahoma" w:hAnsi="Tahoma" w:cs="Tahoma"/>
          <w:noProof/>
          <w:sz w:val="22"/>
          <w:szCs w:val="22"/>
          <w:lang w:val="sr-Cyrl-BA"/>
        </w:rPr>
        <w:t xml:space="preserve">, су придржавани од стране органа </w:t>
      </w:r>
      <w:r w:rsidR="001E1CA3">
        <w:rPr>
          <w:rFonts w:ascii="Tahoma" w:hAnsi="Tahoma" w:cs="Tahoma"/>
          <w:noProof/>
          <w:sz w:val="22"/>
          <w:szCs w:val="22"/>
          <w:lang w:val="sr-Cyrl-BA"/>
        </w:rPr>
        <w:t>општине</w:t>
      </w:r>
      <w:r w:rsidR="00862706">
        <w:rPr>
          <w:rFonts w:ascii="Tahoma" w:hAnsi="Tahoma" w:cs="Tahoma"/>
          <w:noProof/>
          <w:sz w:val="22"/>
          <w:szCs w:val="22"/>
          <w:lang w:val="sr-Cyrl-BA"/>
        </w:rPr>
        <w:t xml:space="preserve">, </w:t>
      </w:r>
      <w:r w:rsidR="00666D6E">
        <w:rPr>
          <w:rFonts w:ascii="Tahoma" w:hAnsi="Tahoma" w:cs="Tahoma"/>
          <w:noProof/>
          <w:sz w:val="22"/>
          <w:szCs w:val="22"/>
          <w:lang w:val="sr-Cyrl-BA"/>
        </w:rPr>
        <w:t xml:space="preserve">као и </w:t>
      </w:r>
      <w:r w:rsidR="00862706">
        <w:rPr>
          <w:rFonts w:ascii="Tahoma" w:hAnsi="Tahoma" w:cs="Tahoma"/>
          <w:noProof/>
          <w:sz w:val="22"/>
          <w:szCs w:val="22"/>
          <w:lang w:val="sr-Cyrl-BA"/>
        </w:rPr>
        <w:t xml:space="preserve">рок за </w:t>
      </w:r>
      <w:r w:rsidR="00BB4587">
        <w:rPr>
          <w:rFonts w:ascii="Tahoma" w:hAnsi="Tahoma" w:cs="Tahoma"/>
          <w:noProof/>
          <w:sz w:val="22"/>
          <w:szCs w:val="22"/>
          <w:lang w:val="sr-Cyrl-BA"/>
        </w:rPr>
        <w:t xml:space="preserve">утврђивање предлога одлуке о буџету </w:t>
      </w:r>
      <w:r w:rsidR="00C058C1">
        <w:rPr>
          <w:rFonts w:ascii="Tahoma" w:hAnsi="Tahoma" w:cs="Tahoma"/>
          <w:noProof/>
          <w:sz w:val="22"/>
          <w:szCs w:val="22"/>
          <w:lang w:val="sr-Cyrl-BA"/>
        </w:rPr>
        <w:t xml:space="preserve">од стране извршног органа </w:t>
      </w:r>
      <w:r w:rsidR="00BB4587">
        <w:rPr>
          <w:rFonts w:ascii="Tahoma" w:hAnsi="Tahoma" w:cs="Tahoma"/>
          <w:noProof/>
          <w:sz w:val="22"/>
          <w:szCs w:val="22"/>
          <w:lang w:val="sr-Cyrl-BA"/>
        </w:rPr>
        <w:t xml:space="preserve">и </w:t>
      </w:r>
      <w:r w:rsidR="00BB147A">
        <w:rPr>
          <w:rFonts w:ascii="Tahoma" w:hAnsi="Tahoma" w:cs="Tahoma"/>
          <w:noProof/>
          <w:sz w:val="22"/>
          <w:szCs w:val="22"/>
          <w:lang w:val="sr-Cyrl-BA"/>
        </w:rPr>
        <w:t xml:space="preserve">крајњи рок за </w:t>
      </w:r>
      <w:r w:rsidR="00862706">
        <w:rPr>
          <w:rFonts w:ascii="Tahoma" w:hAnsi="Tahoma" w:cs="Tahoma"/>
          <w:noProof/>
          <w:sz w:val="22"/>
          <w:szCs w:val="22"/>
          <w:lang w:val="sr-Cyrl-BA"/>
        </w:rPr>
        <w:t>усвајањ</w:t>
      </w:r>
      <w:r w:rsidR="00BB4587">
        <w:rPr>
          <w:rFonts w:ascii="Tahoma" w:hAnsi="Tahoma" w:cs="Tahoma"/>
          <w:noProof/>
          <w:sz w:val="22"/>
          <w:szCs w:val="22"/>
          <w:lang w:val="sr-Cyrl-BA"/>
        </w:rPr>
        <w:t>е</w:t>
      </w:r>
      <w:r w:rsidR="00862706">
        <w:rPr>
          <w:rFonts w:ascii="Tahoma" w:hAnsi="Tahoma" w:cs="Tahoma"/>
          <w:noProof/>
          <w:sz w:val="22"/>
          <w:szCs w:val="22"/>
          <w:lang w:val="sr-Cyrl-BA"/>
        </w:rPr>
        <w:t xml:space="preserve"> одлуке од стране локалне скупштине.</w:t>
      </w:r>
      <w:r w:rsidR="00033894">
        <w:rPr>
          <w:rFonts w:ascii="Tahoma" w:hAnsi="Tahoma" w:cs="Tahoma"/>
          <w:noProof/>
          <w:sz w:val="22"/>
          <w:szCs w:val="22"/>
          <w:lang w:val="sr-Cyrl-BA"/>
        </w:rPr>
        <w:t xml:space="preserve"> </w:t>
      </w:r>
      <w:r w:rsidRPr="0087586B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Упутство за припрему буџета </w:t>
      </w:r>
      <w:r w:rsidR="00DC7F87" w:rsidRPr="0087586B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општине </w:t>
      </w:r>
      <w:r w:rsidR="00DC2AF2">
        <w:rPr>
          <w:rFonts w:ascii="Tahoma" w:hAnsi="Tahoma" w:cs="Tahoma"/>
          <w:noProof/>
          <w:color w:val="auto"/>
          <w:sz w:val="22"/>
          <w:szCs w:val="22"/>
          <w:lang w:val="sr-Cyrl-RS"/>
        </w:rPr>
        <w:t>Смедеревска Паланка</w:t>
      </w:r>
      <w:r w:rsidR="00055F91" w:rsidRPr="0087586B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Pr="0087586B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са пројекцијама за наредне две године саджало је све потребне инпуте за израду финансијских планова </w:t>
      </w:r>
      <w:r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директних и индиректних корисника, односно </w:t>
      </w:r>
      <w:r w:rsidR="00055F91" w:rsidRPr="00602879">
        <w:rPr>
          <w:rFonts w:ascii="Tahoma" w:hAnsi="Tahoma" w:cs="Tahoma"/>
          <w:noProof/>
          <w:sz w:val="22"/>
          <w:szCs w:val="22"/>
          <w:lang w:val="sr-Cyrl-BA"/>
        </w:rPr>
        <w:t>лимите</w:t>
      </w:r>
      <w:r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</w:t>
      </w:r>
      <w:r w:rsidR="00B95DAF"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за планирање буџета </w:t>
      </w:r>
      <w:r w:rsidR="00B95DAF">
        <w:rPr>
          <w:rFonts w:ascii="Tahoma" w:hAnsi="Tahoma" w:cs="Tahoma"/>
          <w:noProof/>
          <w:sz w:val="22"/>
          <w:szCs w:val="22"/>
          <w:lang w:val="sr-Cyrl-BA"/>
        </w:rPr>
        <w:t>општине</w:t>
      </w:r>
      <w:r w:rsidR="00B95DAF"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у наредној години </w:t>
      </w:r>
      <w:r w:rsidRPr="00602879">
        <w:rPr>
          <w:rFonts w:ascii="Tahoma" w:hAnsi="Tahoma" w:cs="Tahoma"/>
          <w:noProof/>
          <w:sz w:val="22"/>
          <w:szCs w:val="22"/>
          <w:lang w:val="sr-Cyrl-BA"/>
        </w:rPr>
        <w:t>(</w:t>
      </w:r>
      <w:r w:rsidR="002679E9">
        <w:rPr>
          <w:rFonts w:ascii="Tahoma" w:hAnsi="Tahoma" w:cs="Tahoma"/>
          <w:noProof/>
          <w:sz w:val="22"/>
          <w:szCs w:val="22"/>
          <w:lang w:val="sr-Cyrl-RS"/>
        </w:rPr>
        <w:t xml:space="preserve">који су утврђени у виду </w:t>
      </w:r>
      <w:r w:rsidR="002F464A">
        <w:rPr>
          <w:rFonts w:ascii="Tahoma" w:hAnsi="Tahoma" w:cs="Tahoma"/>
          <w:noProof/>
          <w:sz w:val="22"/>
          <w:szCs w:val="22"/>
          <w:lang w:val="sr-Cyrl-RS"/>
        </w:rPr>
        <w:t>годишњег лимита за сваког корисника буџетских средстава општине)</w:t>
      </w:r>
      <w:r w:rsidR="00800369">
        <w:rPr>
          <w:rFonts w:ascii="Tahoma" w:hAnsi="Tahoma" w:cs="Tahoma"/>
          <w:noProof/>
          <w:sz w:val="22"/>
          <w:szCs w:val="22"/>
          <w:lang w:val="sr-Cyrl-RS"/>
        </w:rPr>
        <w:t>,</w:t>
      </w:r>
      <w:r w:rsidR="002F464A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са јасно утврђеним правилима планирања масе средстава за плате, других расхода и издатака. Од стране </w:t>
      </w:r>
      <w:r w:rsidR="00055F91" w:rsidRPr="00602879">
        <w:rPr>
          <w:rFonts w:ascii="Tahoma" w:hAnsi="Tahoma" w:cs="Tahoma"/>
          <w:noProof/>
          <w:sz w:val="22"/>
          <w:szCs w:val="22"/>
          <w:lang w:val="sr-Cyrl-BA"/>
        </w:rPr>
        <w:t>надлежних</w:t>
      </w:r>
      <w:r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органа локалне власти у </w:t>
      </w:r>
      <w:r w:rsidR="00862706">
        <w:rPr>
          <w:rFonts w:ascii="Tahoma" w:hAnsi="Tahoma" w:cs="Tahoma"/>
          <w:noProof/>
          <w:sz w:val="22"/>
          <w:szCs w:val="22"/>
          <w:lang w:val="sr-Cyrl-BA"/>
        </w:rPr>
        <w:t xml:space="preserve">општини </w:t>
      </w:r>
      <w:r w:rsidR="000F6CD3">
        <w:rPr>
          <w:rFonts w:ascii="Tahoma" w:hAnsi="Tahoma" w:cs="Tahoma"/>
          <w:noProof/>
          <w:sz w:val="22"/>
          <w:szCs w:val="22"/>
          <w:lang w:val="sr-Cyrl-BA"/>
        </w:rPr>
        <w:t>С</w:t>
      </w:r>
      <w:r w:rsidR="00997736">
        <w:rPr>
          <w:rFonts w:ascii="Tahoma" w:hAnsi="Tahoma" w:cs="Tahoma"/>
          <w:noProof/>
          <w:sz w:val="22"/>
          <w:szCs w:val="22"/>
          <w:lang w:val="sr-Cyrl-BA"/>
        </w:rPr>
        <w:t>медеревска Палнака</w:t>
      </w:r>
      <w:r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су поштовани </w:t>
      </w:r>
      <w:r w:rsidR="00CB2E10"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утврђени </w:t>
      </w:r>
      <w:r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рокови по крајњим датумима за израду упутства за припрему нацрта буџета локалне власти, за достављање предлога финансијског плана </w:t>
      </w:r>
      <w:r w:rsidR="00025939">
        <w:rPr>
          <w:rFonts w:ascii="Tahoma" w:hAnsi="Tahoma" w:cs="Tahoma"/>
          <w:noProof/>
          <w:sz w:val="22"/>
          <w:szCs w:val="22"/>
          <w:lang w:val="sr-Cyrl-BA"/>
        </w:rPr>
        <w:t>Одељењу за финансије</w:t>
      </w:r>
      <w:r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, </w:t>
      </w:r>
      <w:r w:rsidR="00055F91" w:rsidRPr="00602879">
        <w:rPr>
          <w:rFonts w:ascii="Tahoma" w:hAnsi="Tahoma" w:cs="Tahoma"/>
          <w:noProof/>
          <w:sz w:val="22"/>
          <w:szCs w:val="22"/>
          <w:lang w:val="sr-Cyrl-BA"/>
        </w:rPr>
        <w:t>за</w:t>
      </w:r>
      <w:r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достављање нацрта одлуке о буџету извршном органу</w:t>
      </w:r>
      <w:r w:rsidR="00D46581">
        <w:rPr>
          <w:rFonts w:ascii="Tahoma" w:hAnsi="Tahoma" w:cs="Tahoma"/>
          <w:noProof/>
          <w:sz w:val="22"/>
          <w:szCs w:val="22"/>
          <w:lang w:val="sr-Cyrl-BA"/>
        </w:rPr>
        <w:t>.</w:t>
      </w:r>
      <w:r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Одлуке о буџету </w:t>
      </w:r>
      <w:r w:rsidR="00A62D42">
        <w:rPr>
          <w:rFonts w:ascii="Tahoma" w:hAnsi="Tahoma" w:cs="Tahoma"/>
          <w:noProof/>
          <w:sz w:val="22"/>
          <w:szCs w:val="22"/>
          <w:lang w:val="sr-Cyrl-BA"/>
        </w:rPr>
        <w:t>општине</w:t>
      </w:r>
      <w:r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</w:t>
      </w:r>
      <w:r w:rsidR="000F52BF">
        <w:rPr>
          <w:rFonts w:ascii="Tahoma" w:hAnsi="Tahoma" w:cs="Tahoma"/>
          <w:noProof/>
          <w:sz w:val="22"/>
          <w:szCs w:val="22"/>
          <w:lang w:val="sr-Cyrl-BA"/>
        </w:rPr>
        <w:t xml:space="preserve">су </w:t>
      </w:r>
      <w:r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донете на седници Скупштине </w:t>
      </w:r>
      <w:r w:rsidR="00A62D42">
        <w:rPr>
          <w:rFonts w:ascii="Tahoma" w:hAnsi="Tahoma" w:cs="Tahoma"/>
          <w:noProof/>
          <w:sz w:val="22"/>
          <w:szCs w:val="22"/>
          <w:lang w:val="sr-Cyrl-BA"/>
        </w:rPr>
        <w:t>општине</w:t>
      </w:r>
      <w:r w:rsidR="00C97E11">
        <w:rPr>
          <w:rFonts w:ascii="Tahoma" w:hAnsi="Tahoma" w:cs="Tahoma"/>
          <w:noProof/>
          <w:sz w:val="22"/>
          <w:szCs w:val="22"/>
          <w:lang w:val="sr-Cyrl-BA"/>
        </w:rPr>
        <w:t xml:space="preserve">, у посматраном периоду од 3 године, у временском интервалу од </w:t>
      </w:r>
      <w:r w:rsidR="00950351">
        <w:rPr>
          <w:rFonts w:ascii="Tahoma" w:hAnsi="Tahoma" w:cs="Tahoma"/>
          <w:noProof/>
          <w:sz w:val="22"/>
          <w:szCs w:val="22"/>
          <w:lang w:val="sr-Cyrl-RS"/>
        </w:rPr>
        <w:t>18</w:t>
      </w:r>
      <w:r w:rsidR="00025939">
        <w:rPr>
          <w:rFonts w:ascii="Tahoma" w:hAnsi="Tahoma" w:cs="Tahoma"/>
          <w:noProof/>
          <w:sz w:val="22"/>
          <w:szCs w:val="22"/>
          <w:lang w:val="sr-Cyrl-RS"/>
        </w:rPr>
        <w:t>.12</w:t>
      </w:r>
      <w:r w:rsidR="00C97E11" w:rsidRPr="002679E9">
        <w:rPr>
          <w:rFonts w:ascii="Tahoma" w:hAnsi="Tahoma" w:cs="Tahoma"/>
          <w:noProof/>
          <w:sz w:val="22"/>
          <w:szCs w:val="22"/>
          <w:lang w:val="sr-Cyrl-BA"/>
        </w:rPr>
        <w:t xml:space="preserve">. до </w:t>
      </w:r>
      <w:r w:rsidR="00950351">
        <w:rPr>
          <w:rFonts w:ascii="Tahoma" w:hAnsi="Tahoma" w:cs="Tahoma"/>
          <w:noProof/>
          <w:sz w:val="22"/>
          <w:szCs w:val="22"/>
          <w:lang w:val="sr-Cyrl-RS"/>
        </w:rPr>
        <w:t>20</w:t>
      </w:r>
      <w:r w:rsidR="00C97E11" w:rsidRPr="002679E9">
        <w:rPr>
          <w:rFonts w:ascii="Tahoma" w:hAnsi="Tahoma" w:cs="Tahoma"/>
          <w:noProof/>
          <w:sz w:val="22"/>
          <w:szCs w:val="22"/>
          <w:lang w:val="sr-Cyrl-BA"/>
        </w:rPr>
        <w:t>.12.</w:t>
      </w:r>
      <w:r w:rsidR="00961166">
        <w:rPr>
          <w:rFonts w:ascii="Tahoma" w:hAnsi="Tahoma" w:cs="Tahoma"/>
          <w:noProof/>
          <w:sz w:val="22"/>
          <w:szCs w:val="22"/>
          <w:lang w:val="sr-Cyrl-BA"/>
        </w:rPr>
        <w:t xml:space="preserve"> </w:t>
      </w:r>
      <w:r w:rsidR="00DC48E7" w:rsidRPr="00602879">
        <w:rPr>
          <w:rFonts w:ascii="Tahoma" w:hAnsi="Tahoma" w:cs="Tahoma"/>
          <w:noProof/>
          <w:sz w:val="22"/>
          <w:szCs w:val="22"/>
          <w:lang w:val="sr-Cyrl-BA"/>
        </w:rPr>
        <w:t>у</w:t>
      </w:r>
      <w:r w:rsidR="00D85836">
        <w:rPr>
          <w:rFonts w:ascii="Tahoma" w:hAnsi="Tahoma" w:cs="Tahoma"/>
          <w:noProof/>
          <w:sz w:val="22"/>
          <w:szCs w:val="22"/>
          <w:lang w:val="sr-Cyrl-BA"/>
        </w:rPr>
        <w:t xml:space="preserve"> текућој</w:t>
      </w:r>
      <w:r w:rsidR="00DC48E7"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години за наредну годину</w:t>
      </w:r>
      <w:r w:rsidR="00702578">
        <w:rPr>
          <w:rFonts w:ascii="Tahoma" w:hAnsi="Tahoma" w:cs="Tahoma"/>
          <w:noProof/>
          <w:sz w:val="22"/>
          <w:szCs w:val="22"/>
          <w:lang w:val="sr-Cyrl-BA"/>
        </w:rPr>
        <w:t xml:space="preserve">. </w:t>
      </w:r>
      <w:r w:rsidR="008B2098"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У току </w:t>
      </w:r>
      <w:r w:rsidR="00961166">
        <w:rPr>
          <w:rFonts w:ascii="Tahoma" w:hAnsi="Tahoma" w:cs="Tahoma"/>
          <w:noProof/>
          <w:sz w:val="22"/>
          <w:szCs w:val="22"/>
          <w:lang w:val="sr-Cyrl-BA"/>
        </w:rPr>
        <w:t>анализираног временског раздобља</w:t>
      </w:r>
      <w:r w:rsidR="008B2098"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</w:t>
      </w:r>
      <w:r w:rsidR="008B2098" w:rsidRPr="008B103E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измене и допуне одлуке о буџету </w:t>
      </w:r>
      <w:r w:rsidR="00D33D10" w:rsidRPr="008B103E">
        <w:rPr>
          <w:rFonts w:ascii="Tahoma" w:hAnsi="Tahoma" w:cs="Tahoma"/>
          <w:noProof/>
          <w:color w:val="auto"/>
          <w:sz w:val="22"/>
          <w:szCs w:val="22"/>
          <w:lang w:val="sr-Cyrl-BA"/>
        </w:rPr>
        <w:t>општине</w:t>
      </w:r>
      <w:r w:rsidR="008B2098" w:rsidRPr="008B103E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су извршене </w:t>
      </w:r>
      <w:r w:rsidR="00961166" w:rsidRPr="008B103E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сваке године </w:t>
      </w:r>
      <w:r w:rsidR="00375D5A">
        <w:rPr>
          <w:rFonts w:ascii="Tahoma" w:hAnsi="Tahoma" w:cs="Tahoma"/>
          <w:noProof/>
          <w:color w:val="auto"/>
          <w:sz w:val="22"/>
          <w:szCs w:val="22"/>
          <w:lang w:val="sr-Cyrl-RS"/>
        </w:rPr>
        <w:t>једном</w:t>
      </w:r>
      <w:r w:rsidR="00393401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. </w:t>
      </w:r>
      <w:r w:rsidR="00033894" w:rsidRPr="008B103E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У већем броју донетих </w:t>
      </w:r>
      <w:r w:rsidR="00DF499A" w:rsidRPr="00602879">
        <w:rPr>
          <w:rFonts w:ascii="Tahoma" w:hAnsi="Tahoma" w:cs="Tahoma"/>
          <w:noProof/>
          <w:sz w:val="22"/>
          <w:szCs w:val="22"/>
          <w:lang w:val="sr-Cyrl-BA"/>
        </w:rPr>
        <w:t>одлука о буџету</w:t>
      </w:r>
      <w:r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</w:t>
      </w:r>
      <w:r w:rsidR="0087586B">
        <w:rPr>
          <w:rFonts w:ascii="Tahoma" w:hAnsi="Tahoma" w:cs="Tahoma"/>
          <w:noProof/>
          <w:sz w:val="22"/>
          <w:szCs w:val="22"/>
          <w:lang w:val="sr-Cyrl-BA"/>
        </w:rPr>
        <w:t>општине</w:t>
      </w:r>
      <w:r w:rsidRPr="00602879">
        <w:rPr>
          <w:rFonts w:ascii="Tahoma" w:hAnsi="Tahoma" w:cs="Tahoma"/>
          <w:noProof/>
          <w:sz w:val="22"/>
          <w:szCs w:val="22"/>
          <w:lang w:val="sr-Cyrl-BA"/>
        </w:rPr>
        <w:t>, планиран је ниво фискалног дефицита који је у складу са чланом 27ж. Закона о буџетском систему, према којем фискални дефицит локалне власти може настати само као резултат јавних инвестиција и да исти у одређеној години не може бити већи од 10% њених прихода у тој години.</w:t>
      </w:r>
      <w:r w:rsidR="008C2346">
        <w:rPr>
          <w:rFonts w:ascii="Tahoma" w:hAnsi="Tahoma" w:cs="Tahoma"/>
          <w:noProof/>
          <w:sz w:val="22"/>
          <w:szCs w:val="22"/>
          <w:lang w:val="sr-Cyrl-BA"/>
        </w:rPr>
        <w:t xml:space="preserve"> </w:t>
      </w:r>
      <w:r w:rsidR="00F64591"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Приликом утврђивања потребних средстава буџета за наредну годину, надлежн</w:t>
      </w:r>
      <w:r w:rsidR="005A0EC1">
        <w:rPr>
          <w:rFonts w:ascii="Tahoma" w:hAnsi="Tahoma" w:cs="Tahoma"/>
          <w:noProof/>
          <w:sz w:val="22"/>
          <w:szCs w:val="22"/>
          <w:lang w:val="sr-Cyrl-BA"/>
        </w:rPr>
        <w:t xml:space="preserve">о Одељење </w:t>
      </w:r>
      <w:r w:rsidR="00211E23">
        <w:rPr>
          <w:rFonts w:ascii="Tahoma" w:hAnsi="Tahoma" w:cs="Tahoma"/>
          <w:noProof/>
          <w:sz w:val="22"/>
          <w:szCs w:val="22"/>
          <w:lang w:val="sr-Cyrl-BA"/>
        </w:rPr>
        <w:t xml:space="preserve">за финансије </w:t>
      </w:r>
      <w:r w:rsidR="00033894">
        <w:rPr>
          <w:rFonts w:ascii="Tahoma" w:hAnsi="Tahoma" w:cs="Tahoma"/>
          <w:noProof/>
          <w:sz w:val="22"/>
          <w:szCs w:val="22"/>
          <w:lang w:val="sr-Cyrl-BA"/>
        </w:rPr>
        <w:t xml:space="preserve">је </w:t>
      </w:r>
      <w:r w:rsidR="00F64591" w:rsidRPr="00602879">
        <w:rPr>
          <w:rFonts w:ascii="Tahoma" w:hAnsi="Tahoma" w:cs="Tahoma"/>
          <w:noProof/>
          <w:sz w:val="22"/>
          <w:szCs w:val="22"/>
          <w:lang w:val="sr-Cyrl-BA"/>
        </w:rPr>
        <w:t>полази</w:t>
      </w:r>
      <w:r w:rsidR="00033894">
        <w:rPr>
          <w:rFonts w:ascii="Tahoma" w:hAnsi="Tahoma" w:cs="Tahoma"/>
          <w:noProof/>
          <w:sz w:val="22"/>
          <w:szCs w:val="22"/>
          <w:lang w:val="sr-Cyrl-BA"/>
        </w:rPr>
        <w:t>л</w:t>
      </w:r>
      <w:r w:rsidR="00211E23">
        <w:rPr>
          <w:rFonts w:ascii="Tahoma" w:hAnsi="Tahoma" w:cs="Tahoma"/>
          <w:noProof/>
          <w:sz w:val="22"/>
          <w:szCs w:val="22"/>
          <w:lang w:val="sr-Cyrl-BA"/>
        </w:rPr>
        <w:t>о</w:t>
      </w:r>
      <w:r w:rsidR="00F64591"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од предлога финансијских планова индиректних и других корисника, анализе њихових захтева са становишта буџетских могућности, са једне стране, односно препорука и смерница за планирање буџета (макроекомонски параметри и ограничења у планирању одређених категорија расхода/издатака) из </w:t>
      </w:r>
      <w:r w:rsidR="00F64591" w:rsidRPr="00602879">
        <w:rPr>
          <w:rFonts w:ascii="Tahoma" w:hAnsi="Tahoma" w:cs="Tahoma"/>
          <w:iCs/>
          <w:noProof/>
          <w:sz w:val="22"/>
          <w:szCs w:val="22"/>
          <w:lang w:val="sr-Cyrl-BA"/>
        </w:rPr>
        <w:t>Упутства за припрему одлуке о буџету</w:t>
      </w:r>
      <w:r w:rsidR="00F64591"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за конкретне године које доноси Министарство финансија, са друге стране.</w:t>
      </w:r>
    </w:p>
    <w:p w14:paraId="138F18F0" w14:textId="7CD47F53" w:rsidR="00B835BE" w:rsidRDefault="00B835BE" w:rsidP="00903CE6">
      <w:pPr>
        <w:spacing w:after="160" w:line="259" w:lineRule="auto"/>
        <w:jc w:val="both"/>
        <w:rPr>
          <w:rFonts w:ascii="Tahoma" w:hAnsi="Tahoma" w:cs="Tahoma"/>
          <w:noProof/>
          <w:sz w:val="22"/>
          <w:szCs w:val="22"/>
          <w:lang w:val="sr-Cyrl-BA"/>
        </w:rPr>
      </w:pPr>
      <w:r w:rsidRPr="0078135C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Званично објављене </w:t>
      </w:r>
      <w:r w:rsidR="00903CE6" w:rsidRPr="0078135C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Одлуке о буџету </w:t>
      </w:r>
      <w:r w:rsidR="0087586B" w:rsidRPr="0078135C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општине </w:t>
      </w:r>
      <w:r w:rsidR="00691517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Смедеревска Паланка</w:t>
      </w:r>
      <w:r w:rsidR="007A5BAD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 </w:t>
      </w:r>
      <w:r w:rsidR="00903CE6" w:rsidRPr="0078135C">
        <w:rPr>
          <w:rFonts w:ascii="Tahoma" w:hAnsi="Tahoma" w:cs="Tahoma"/>
          <w:b/>
          <w:bCs/>
          <w:noProof/>
          <w:color w:val="auto"/>
          <w:sz w:val="22"/>
          <w:szCs w:val="22"/>
          <w:lang w:val="sr-Cyrl-BA"/>
        </w:rPr>
        <w:t xml:space="preserve">садрже </w:t>
      </w:r>
      <w:r w:rsidR="0070722B" w:rsidRPr="0078135C">
        <w:rPr>
          <w:rFonts w:ascii="Tahoma" w:hAnsi="Tahoma" w:cs="Tahoma"/>
          <w:b/>
          <w:bCs/>
          <w:noProof/>
          <w:color w:val="auto"/>
          <w:sz w:val="22"/>
          <w:szCs w:val="22"/>
          <w:lang w:val="sr-Cyrl-BA"/>
        </w:rPr>
        <w:t>све прописане делове буџета</w:t>
      </w:r>
      <w:r w:rsidR="007A5BAD">
        <w:rPr>
          <w:rFonts w:ascii="Tahoma" w:hAnsi="Tahoma" w:cs="Tahoma"/>
          <w:b/>
          <w:bCs/>
          <w:noProof/>
          <w:color w:val="auto"/>
          <w:sz w:val="22"/>
          <w:szCs w:val="22"/>
          <w:lang w:val="sr-Cyrl-BA"/>
        </w:rPr>
        <w:t>.</w:t>
      </w:r>
      <w:r w:rsidR="00903CE6" w:rsidRPr="0078135C">
        <w:rPr>
          <w:rFonts w:ascii="Tahoma" w:hAnsi="Tahoma" w:cs="Tahoma"/>
          <w:b/>
          <w:bCs/>
          <w:noProof/>
          <w:color w:val="auto"/>
          <w:sz w:val="22"/>
          <w:szCs w:val="22"/>
          <w:lang w:val="sr-Cyrl-BA"/>
        </w:rPr>
        <w:t xml:space="preserve"> </w:t>
      </w:r>
      <w:r w:rsidR="00903CE6">
        <w:rPr>
          <w:rFonts w:ascii="Tahoma" w:hAnsi="Tahoma" w:cs="Tahoma"/>
          <w:noProof/>
          <w:sz w:val="22"/>
          <w:szCs w:val="22"/>
          <w:lang w:val="sr-Cyrl-BA"/>
        </w:rPr>
        <w:t>Најзначајнији годишњи акт</w:t>
      </w:r>
      <w:r w:rsidR="00903CE6"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</w:t>
      </w:r>
      <w:r w:rsidR="0070722B">
        <w:rPr>
          <w:rFonts w:ascii="Tahoma" w:hAnsi="Tahoma" w:cs="Tahoma"/>
          <w:noProof/>
          <w:sz w:val="22"/>
          <w:szCs w:val="22"/>
          <w:lang w:val="sr-Cyrl-BA"/>
        </w:rPr>
        <w:t>општине</w:t>
      </w:r>
      <w:r w:rsidR="00903CE6"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у посматраном периоду садрж</w:t>
      </w:r>
      <w:r w:rsidR="0083415B">
        <w:rPr>
          <w:rFonts w:ascii="Tahoma" w:hAnsi="Tahoma" w:cs="Tahoma"/>
          <w:noProof/>
          <w:sz w:val="22"/>
          <w:szCs w:val="22"/>
          <w:lang w:val="sr-Cyrl-BA"/>
        </w:rPr>
        <w:t>и</w:t>
      </w:r>
      <w:r w:rsidR="00903CE6"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</w:t>
      </w:r>
      <w:r>
        <w:rPr>
          <w:rFonts w:ascii="Tahoma" w:hAnsi="Tahoma" w:cs="Tahoma"/>
          <w:noProof/>
          <w:sz w:val="22"/>
          <w:szCs w:val="22"/>
          <w:lang w:val="sr-Cyrl-BA"/>
        </w:rPr>
        <w:t xml:space="preserve">општи део, посебан део и одредбе о извршавању буџета. </w:t>
      </w:r>
      <w:r w:rsidR="0078135C">
        <w:rPr>
          <w:rFonts w:ascii="Tahoma" w:hAnsi="Tahoma" w:cs="Tahoma"/>
          <w:noProof/>
          <w:sz w:val="22"/>
          <w:szCs w:val="22"/>
          <w:lang w:val="sr-Cyrl-BA"/>
        </w:rPr>
        <w:t xml:space="preserve">Општи део буџета општине </w:t>
      </w:r>
      <w:r w:rsidR="005658F6">
        <w:rPr>
          <w:rFonts w:ascii="Tahoma" w:hAnsi="Tahoma" w:cs="Tahoma"/>
          <w:noProof/>
          <w:sz w:val="22"/>
          <w:szCs w:val="22"/>
          <w:lang w:val="sr-Cyrl-BA"/>
        </w:rPr>
        <w:t>и</w:t>
      </w:r>
      <w:r w:rsidR="004C6A18">
        <w:rPr>
          <w:rFonts w:ascii="Tahoma" w:hAnsi="Tahoma" w:cs="Tahoma"/>
          <w:noProof/>
          <w:sz w:val="22"/>
          <w:szCs w:val="22"/>
          <w:lang w:val="sr-Cyrl-BA"/>
        </w:rPr>
        <w:t xml:space="preserve"> посебан део буџета – распоред расхода и издатака по корисницима </w:t>
      </w:r>
      <w:r w:rsidR="005658F6">
        <w:rPr>
          <w:rFonts w:ascii="Tahoma" w:hAnsi="Tahoma" w:cs="Tahoma"/>
          <w:noProof/>
          <w:sz w:val="22"/>
          <w:szCs w:val="22"/>
          <w:lang w:val="sr-Cyrl-BA"/>
        </w:rPr>
        <w:t>одговара захтевима важећих прописа којим је уређен садржај одлуке о буџету</w:t>
      </w:r>
      <w:r w:rsidR="001D1E7E">
        <w:rPr>
          <w:rFonts w:ascii="Tahoma" w:hAnsi="Tahoma" w:cs="Tahoma"/>
          <w:noProof/>
          <w:sz w:val="22"/>
          <w:szCs w:val="22"/>
          <w:lang w:val="sr-Cyrl-BA"/>
        </w:rPr>
        <w:t>.</w:t>
      </w:r>
      <w:r w:rsidR="005658F6">
        <w:rPr>
          <w:rFonts w:ascii="Tahoma" w:hAnsi="Tahoma" w:cs="Tahoma"/>
          <w:noProof/>
          <w:sz w:val="22"/>
          <w:szCs w:val="22"/>
          <w:lang w:val="sr-Cyrl-BA"/>
        </w:rPr>
        <w:t xml:space="preserve"> Међутим, п</w:t>
      </w:r>
      <w:r>
        <w:rPr>
          <w:rFonts w:ascii="Tahoma" w:hAnsi="Tahoma" w:cs="Tahoma"/>
          <w:noProof/>
          <w:sz w:val="22"/>
          <w:szCs w:val="22"/>
          <w:lang w:val="sr-Cyrl-BA"/>
        </w:rPr>
        <w:t xml:space="preserve">рограмске информације </w:t>
      </w:r>
      <w:r w:rsidR="00824167">
        <w:rPr>
          <w:rFonts w:ascii="Tahoma" w:hAnsi="Tahoma" w:cs="Tahoma"/>
          <w:noProof/>
          <w:sz w:val="22"/>
          <w:szCs w:val="22"/>
          <w:lang w:val="sr-Cyrl-BA"/>
        </w:rPr>
        <w:t>су</w:t>
      </w:r>
      <w:r w:rsidR="0070722B">
        <w:rPr>
          <w:rFonts w:ascii="Tahoma" w:hAnsi="Tahoma" w:cs="Tahoma"/>
          <w:noProof/>
          <w:sz w:val="22"/>
          <w:szCs w:val="22"/>
          <w:lang w:val="sr-Cyrl-BA"/>
        </w:rPr>
        <w:t xml:space="preserve"> представљене </w:t>
      </w:r>
      <w:r w:rsidR="0078135C">
        <w:rPr>
          <w:rFonts w:ascii="Tahoma" w:hAnsi="Tahoma" w:cs="Tahoma"/>
          <w:noProof/>
          <w:sz w:val="22"/>
          <w:szCs w:val="22"/>
          <w:lang w:val="sr-Cyrl-BA"/>
        </w:rPr>
        <w:t xml:space="preserve">у </w:t>
      </w:r>
      <w:r w:rsidR="00C0634E">
        <w:rPr>
          <w:rFonts w:ascii="Tahoma" w:hAnsi="Tahoma" w:cs="Tahoma"/>
          <w:noProof/>
          <w:sz w:val="22"/>
          <w:szCs w:val="22"/>
          <w:lang w:val="sr-Cyrl-BA"/>
        </w:rPr>
        <w:t>општем делу одлуке о</w:t>
      </w:r>
      <w:r w:rsidR="0078135C">
        <w:rPr>
          <w:rFonts w:ascii="Tahoma" w:hAnsi="Tahoma" w:cs="Tahoma"/>
          <w:noProof/>
          <w:sz w:val="22"/>
          <w:szCs w:val="22"/>
          <w:lang w:val="sr-Cyrl-BA"/>
        </w:rPr>
        <w:t xml:space="preserve"> буџет</w:t>
      </w:r>
      <w:r w:rsidR="00C0634E">
        <w:rPr>
          <w:rFonts w:ascii="Tahoma" w:hAnsi="Tahoma" w:cs="Tahoma"/>
          <w:noProof/>
          <w:sz w:val="22"/>
          <w:szCs w:val="22"/>
          <w:lang w:val="sr-Cyrl-BA"/>
        </w:rPr>
        <w:t>у</w:t>
      </w:r>
      <w:r w:rsidR="00F00F6E">
        <w:rPr>
          <w:rFonts w:ascii="Tahoma" w:hAnsi="Tahoma" w:cs="Tahoma"/>
          <w:noProof/>
          <w:sz w:val="22"/>
          <w:szCs w:val="22"/>
          <w:lang w:val="sr-Cyrl-BA"/>
        </w:rPr>
        <w:t>,</w:t>
      </w:r>
      <w:r w:rsidR="004C6A18">
        <w:rPr>
          <w:rFonts w:ascii="Tahoma" w:hAnsi="Tahoma" w:cs="Tahoma"/>
          <w:noProof/>
          <w:sz w:val="22"/>
          <w:szCs w:val="22"/>
          <w:lang w:val="sr-Cyrl-BA"/>
        </w:rPr>
        <w:t xml:space="preserve"> </w:t>
      </w:r>
      <w:r w:rsidR="00210772">
        <w:rPr>
          <w:rFonts w:ascii="Tahoma" w:hAnsi="Tahoma" w:cs="Tahoma"/>
          <w:noProof/>
          <w:sz w:val="22"/>
          <w:szCs w:val="22"/>
          <w:lang w:val="sr-Cyrl-BA"/>
        </w:rPr>
        <w:t xml:space="preserve">уместо њиховог представљања у образложењу буџета, сходно </w:t>
      </w:r>
      <w:r w:rsidR="00F00F6E">
        <w:rPr>
          <w:rFonts w:ascii="Tahoma" w:hAnsi="Tahoma" w:cs="Tahoma"/>
          <w:noProof/>
          <w:sz w:val="22"/>
          <w:szCs w:val="22"/>
          <w:lang w:val="sr-Cyrl-BA"/>
        </w:rPr>
        <w:t xml:space="preserve">одредбама </w:t>
      </w:r>
      <w:r w:rsidR="00C27A3F">
        <w:rPr>
          <w:rFonts w:ascii="Tahoma" w:hAnsi="Tahoma" w:cs="Tahoma"/>
          <w:noProof/>
          <w:sz w:val="22"/>
          <w:szCs w:val="22"/>
          <w:lang w:val="sr-Cyrl-BA"/>
        </w:rPr>
        <w:t>Закон</w:t>
      </w:r>
      <w:r w:rsidR="00F00F6E">
        <w:rPr>
          <w:rFonts w:ascii="Tahoma" w:hAnsi="Tahoma" w:cs="Tahoma"/>
          <w:noProof/>
          <w:sz w:val="22"/>
          <w:szCs w:val="22"/>
          <w:lang w:val="sr-Cyrl-BA"/>
        </w:rPr>
        <w:t>а</w:t>
      </w:r>
      <w:r w:rsidR="00C27A3F">
        <w:rPr>
          <w:rFonts w:ascii="Tahoma" w:hAnsi="Tahoma" w:cs="Tahoma"/>
          <w:noProof/>
          <w:sz w:val="22"/>
          <w:szCs w:val="22"/>
          <w:lang w:val="sr-Cyrl-BA"/>
        </w:rPr>
        <w:t xml:space="preserve"> о буџетском систему, али </w:t>
      </w:r>
      <w:r w:rsidR="00C27A3F">
        <w:rPr>
          <w:rFonts w:ascii="Tahoma" w:hAnsi="Tahoma" w:cs="Tahoma"/>
          <w:noProof/>
          <w:sz w:val="22"/>
          <w:szCs w:val="22"/>
          <w:lang w:val="sr-Cyrl-BA"/>
        </w:rPr>
        <w:lastRenderedPageBreak/>
        <w:t>по питању садржине</w:t>
      </w:r>
      <w:r w:rsidR="006C41E8">
        <w:rPr>
          <w:rFonts w:ascii="Tahoma" w:hAnsi="Tahoma" w:cs="Tahoma"/>
          <w:noProof/>
          <w:sz w:val="22"/>
          <w:szCs w:val="22"/>
          <w:lang w:val="sr-Cyrl-BA"/>
        </w:rPr>
        <w:t xml:space="preserve"> исте су </w:t>
      </w:r>
      <w:r w:rsidR="00100AD8">
        <w:rPr>
          <w:rFonts w:ascii="Tahoma" w:hAnsi="Tahoma" w:cs="Tahoma"/>
          <w:noProof/>
          <w:sz w:val="22"/>
          <w:szCs w:val="22"/>
          <w:lang w:val="sr-Cyrl-BA"/>
        </w:rPr>
        <w:t>усклађ</w:t>
      </w:r>
      <w:r w:rsidR="006C41E8">
        <w:rPr>
          <w:rFonts w:ascii="Tahoma" w:hAnsi="Tahoma" w:cs="Tahoma"/>
          <w:noProof/>
          <w:sz w:val="22"/>
          <w:szCs w:val="22"/>
          <w:lang w:val="sr-Cyrl-BA"/>
        </w:rPr>
        <w:t>е</w:t>
      </w:r>
      <w:r w:rsidR="00100AD8">
        <w:rPr>
          <w:rFonts w:ascii="Tahoma" w:hAnsi="Tahoma" w:cs="Tahoma"/>
          <w:noProof/>
          <w:sz w:val="22"/>
          <w:szCs w:val="22"/>
          <w:lang w:val="sr-Cyrl-BA"/>
        </w:rPr>
        <w:t xml:space="preserve">на са </w:t>
      </w:r>
      <w:r w:rsidR="0078135C">
        <w:rPr>
          <w:rFonts w:ascii="Tahoma" w:hAnsi="Tahoma" w:cs="Tahoma"/>
          <w:noProof/>
          <w:sz w:val="22"/>
          <w:szCs w:val="22"/>
          <w:lang w:val="sr-Cyrl-BA"/>
        </w:rPr>
        <w:t xml:space="preserve">захтевима </w:t>
      </w:r>
      <w:r w:rsidR="003B0D50">
        <w:rPr>
          <w:rFonts w:ascii="Tahoma" w:hAnsi="Tahoma" w:cs="Tahoma"/>
          <w:noProof/>
          <w:sz w:val="22"/>
          <w:szCs w:val="22"/>
          <w:lang w:val="sr-Cyrl-BA"/>
        </w:rPr>
        <w:t>Упутств</w:t>
      </w:r>
      <w:r w:rsidR="0078135C">
        <w:rPr>
          <w:rFonts w:ascii="Tahoma" w:hAnsi="Tahoma" w:cs="Tahoma"/>
          <w:noProof/>
          <w:sz w:val="22"/>
          <w:szCs w:val="22"/>
          <w:lang w:val="sr-Cyrl-BA"/>
        </w:rPr>
        <w:t>а</w:t>
      </w:r>
      <w:r w:rsidR="003B0D50">
        <w:rPr>
          <w:rFonts w:ascii="Tahoma" w:hAnsi="Tahoma" w:cs="Tahoma"/>
          <w:noProof/>
          <w:sz w:val="22"/>
          <w:szCs w:val="22"/>
          <w:lang w:val="sr-Cyrl-BA"/>
        </w:rPr>
        <w:t xml:space="preserve"> за израду програмског буџета</w:t>
      </w:r>
      <w:r>
        <w:rPr>
          <w:rFonts w:ascii="Tahoma" w:hAnsi="Tahoma" w:cs="Tahoma"/>
          <w:noProof/>
          <w:sz w:val="22"/>
          <w:szCs w:val="22"/>
          <w:lang w:val="sr-Cyrl-BA"/>
        </w:rPr>
        <w:t xml:space="preserve">. </w:t>
      </w:r>
    </w:p>
    <w:p w14:paraId="1C5B9657" w14:textId="18EB0D67" w:rsidR="00FF4507" w:rsidRPr="0093375A" w:rsidRDefault="00B41149" w:rsidP="00602879">
      <w:pPr>
        <w:spacing w:after="160" w:line="259" w:lineRule="auto"/>
        <w:jc w:val="both"/>
        <w:rPr>
          <w:rFonts w:ascii="Tahoma" w:hAnsi="Tahoma" w:cs="Tahoma"/>
          <w:noProof/>
          <w:color w:val="auto"/>
          <w:sz w:val="22"/>
          <w:szCs w:val="22"/>
          <w:lang w:val="en-US"/>
        </w:rPr>
      </w:pPr>
      <w:r w:rsidRPr="0093375A">
        <w:rPr>
          <w:rFonts w:ascii="Tahoma" w:hAnsi="Tahoma" w:cs="Tahoma"/>
          <w:b/>
          <w:bCs/>
          <w:noProof/>
          <w:color w:val="auto"/>
          <w:sz w:val="22"/>
          <w:szCs w:val="22"/>
          <w:lang w:val="sr-Cyrl-BA"/>
        </w:rPr>
        <w:t xml:space="preserve">Општина </w:t>
      </w:r>
      <w:r w:rsidR="00B503F5">
        <w:rPr>
          <w:rFonts w:ascii="Tahoma" w:hAnsi="Tahoma" w:cs="Tahoma"/>
          <w:b/>
          <w:bCs/>
          <w:noProof/>
          <w:color w:val="auto"/>
          <w:sz w:val="22"/>
          <w:szCs w:val="22"/>
          <w:lang w:val="sr-Cyrl-BA"/>
        </w:rPr>
        <w:t>Смедеревска Паланка</w:t>
      </w:r>
      <w:r w:rsidR="0083415B" w:rsidRPr="0093375A">
        <w:rPr>
          <w:rFonts w:ascii="Tahoma" w:hAnsi="Tahoma" w:cs="Tahoma"/>
          <w:b/>
          <w:bCs/>
          <w:noProof/>
          <w:color w:val="auto"/>
          <w:sz w:val="22"/>
          <w:szCs w:val="22"/>
          <w:lang w:val="sr-Cyrl-BA"/>
        </w:rPr>
        <w:t xml:space="preserve"> спроводи </w:t>
      </w:r>
      <w:r w:rsidR="0083415B" w:rsidRPr="0093375A">
        <w:rPr>
          <w:rFonts w:ascii="Tahoma" w:hAnsi="Tahoma" w:cs="Tahoma"/>
          <w:b/>
          <w:bCs/>
          <w:iCs/>
          <w:noProof/>
          <w:color w:val="auto"/>
          <w:sz w:val="22"/>
          <w:szCs w:val="22"/>
          <w:lang w:val="sr-Cyrl-BA"/>
        </w:rPr>
        <w:t>јавн</w:t>
      </w:r>
      <w:r w:rsidR="00DB0175">
        <w:rPr>
          <w:rFonts w:ascii="Tahoma" w:hAnsi="Tahoma" w:cs="Tahoma"/>
          <w:b/>
          <w:bCs/>
          <w:iCs/>
          <w:noProof/>
          <w:color w:val="auto"/>
          <w:sz w:val="22"/>
          <w:szCs w:val="22"/>
          <w:lang w:val="sr-Cyrl-BA"/>
        </w:rPr>
        <w:t>у</w:t>
      </w:r>
      <w:r w:rsidR="0083415B" w:rsidRPr="0093375A">
        <w:rPr>
          <w:rFonts w:ascii="Tahoma" w:hAnsi="Tahoma" w:cs="Tahoma"/>
          <w:b/>
          <w:bCs/>
          <w:iCs/>
          <w:noProof/>
          <w:color w:val="auto"/>
          <w:sz w:val="22"/>
          <w:szCs w:val="22"/>
          <w:lang w:val="sr-Cyrl-BA"/>
        </w:rPr>
        <w:t xml:space="preserve"> расправ</w:t>
      </w:r>
      <w:r w:rsidR="00DB0175">
        <w:rPr>
          <w:rFonts w:ascii="Tahoma" w:hAnsi="Tahoma" w:cs="Tahoma"/>
          <w:b/>
          <w:bCs/>
          <w:iCs/>
          <w:noProof/>
          <w:color w:val="auto"/>
          <w:sz w:val="22"/>
          <w:szCs w:val="22"/>
          <w:lang w:val="sr-Cyrl-BA"/>
        </w:rPr>
        <w:t>у</w:t>
      </w:r>
      <w:r w:rsidR="0083415B" w:rsidRPr="0093375A">
        <w:rPr>
          <w:rFonts w:ascii="Tahoma" w:hAnsi="Tahoma" w:cs="Tahoma"/>
          <w:b/>
          <w:bCs/>
          <w:noProof/>
          <w:color w:val="auto"/>
          <w:sz w:val="22"/>
          <w:szCs w:val="22"/>
          <w:lang w:val="sr-Cyrl-BA"/>
        </w:rPr>
        <w:t xml:space="preserve"> у поступку припреме буџета </w:t>
      </w:r>
      <w:r w:rsidR="00611DCF" w:rsidRPr="0093375A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општине</w:t>
      </w:r>
      <w:r w:rsidR="0083415B" w:rsidRPr="0093375A">
        <w:rPr>
          <w:rFonts w:ascii="Tahoma" w:hAnsi="Tahoma" w:cs="Tahoma"/>
          <w:b/>
          <w:bCs/>
          <w:noProof/>
          <w:color w:val="auto"/>
          <w:sz w:val="22"/>
          <w:szCs w:val="22"/>
          <w:lang w:val="sr-Cyrl-BA"/>
        </w:rPr>
        <w:t xml:space="preserve">. </w:t>
      </w:r>
      <w:r w:rsidR="0083415B" w:rsidRPr="0093375A">
        <w:rPr>
          <w:rFonts w:ascii="Tahoma" w:hAnsi="Tahoma" w:cs="Tahoma"/>
          <w:noProof/>
          <w:color w:val="auto"/>
          <w:sz w:val="22"/>
          <w:szCs w:val="22"/>
          <w:lang w:val="sr-Cyrl-BA"/>
        </w:rPr>
        <w:t>Предметна обавеза потиче из члана</w:t>
      </w:r>
      <w:r w:rsidR="00483999" w:rsidRPr="0093375A">
        <w:rPr>
          <w:rFonts w:ascii="Tahoma" w:hAnsi="Tahoma" w:cs="Tahoma"/>
          <w:color w:val="auto"/>
          <w:sz w:val="22"/>
          <w:szCs w:val="22"/>
          <w:lang w:val="sr-Cyrl-RS"/>
        </w:rPr>
        <w:t xml:space="preserve"> 40. став 1. Закона о изменама и допунама Закона о локалној самоуправи</w:t>
      </w:r>
      <w:r w:rsidR="00483999" w:rsidRPr="0093375A">
        <w:rPr>
          <w:rStyle w:val="FootnoteReference"/>
          <w:rFonts w:ascii="Tahoma" w:hAnsi="Tahoma" w:cs="Tahoma"/>
          <w:color w:val="auto"/>
          <w:sz w:val="22"/>
          <w:szCs w:val="22"/>
          <w:lang w:val="sr-Cyrl-RS"/>
        </w:rPr>
        <w:footnoteReference w:id="2"/>
      </w:r>
      <w:r w:rsidR="0083415B" w:rsidRPr="0093375A">
        <w:rPr>
          <w:rFonts w:ascii="Tahoma" w:hAnsi="Tahoma" w:cs="Tahoma"/>
          <w:color w:val="auto"/>
          <w:sz w:val="22"/>
          <w:szCs w:val="22"/>
          <w:lang w:val="sr-Cyrl-RS"/>
        </w:rPr>
        <w:t xml:space="preserve">, а иста у </w:t>
      </w:r>
      <w:r w:rsidR="00611DCF" w:rsidRPr="0093375A">
        <w:rPr>
          <w:rFonts w:ascii="Tahoma" w:hAnsi="Tahoma" w:cs="Tahoma"/>
          <w:color w:val="auto"/>
          <w:sz w:val="22"/>
          <w:szCs w:val="22"/>
          <w:lang w:val="sr-Cyrl-RS"/>
        </w:rPr>
        <w:t>општини</w:t>
      </w:r>
      <w:r w:rsidR="0083415B" w:rsidRPr="0093375A">
        <w:rPr>
          <w:rFonts w:ascii="Tahoma" w:hAnsi="Tahoma" w:cs="Tahoma"/>
          <w:color w:val="auto"/>
          <w:sz w:val="22"/>
          <w:szCs w:val="22"/>
          <w:lang w:val="sr-Cyrl-RS"/>
        </w:rPr>
        <w:t xml:space="preserve"> се спроводи путем</w:t>
      </w:r>
      <w:r w:rsidR="00316D00" w:rsidRPr="0093375A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организованих јавних расправа о буџету </w:t>
      </w:r>
      <w:r w:rsidR="0083415B" w:rsidRPr="0093375A">
        <w:rPr>
          <w:rFonts w:ascii="Tahoma" w:hAnsi="Tahoma" w:cs="Tahoma"/>
          <w:noProof/>
          <w:color w:val="auto"/>
          <w:sz w:val="22"/>
          <w:szCs w:val="22"/>
          <w:lang w:val="sr-Cyrl-BA"/>
        </w:rPr>
        <w:t>ради</w:t>
      </w:r>
      <w:r w:rsidR="00316D00" w:rsidRPr="0093375A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учешћ</w:t>
      </w:r>
      <w:r w:rsidR="0083415B" w:rsidRPr="0093375A">
        <w:rPr>
          <w:rFonts w:ascii="Tahoma" w:hAnsi="Tahoma" w:cs="Tahoma"/>
          <w:noProof/>
          <w:color w:val="auto"/>
          <w:sz w:val="22"/>
          <w:szCs w:val="22"/>
          <w:lang w:val="sr-Cyrl-BA"/>
        </w:rPr>
        <w:t>а</w:t>
      </w:r>
      <w:r w:rsidR="00316D00" w:rsidRPr="0093375A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шире јавности у процесу формирања </w:t>
      </w:r>
      <w:r w:rsidR="00F64591" w:rsidRPr="0093375A">
        <w:rPr>
          <w:rFonts w:ascii="Tahoma" w:hAnsi="Tahoma" w:cs="Tahoma"/>
          <w:noProof/>
          <w:color w:val="auto"/>
          <w:sz w:val="22"/>
          <w:szCs w:val="22"/>
          <w:lang w:val="sr-Cyrl-BA"/>
        </w:rPr>
        <w:t>најважније одлуке ЈЛС</w:t>
      </w:r>
      <w:r w:rsidR="00316D00" w:rsidRPr="0093375A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. </w:t>
      </w:r>
      <w:r w:rsidR="00DB0175">
        <w:rPr>
          <w:rFonts w:ascii="Tahoma" w:hAnsi="Tahoma" w:cs="Tahoma"/>
          <w:noProof/>
          <w:color w:val="auto"/>
          <w:sz w:val="22"/>
          <w:szCs w:val="22"/>
          <w:lang w:val="sr-Cyrl-BA"/>
        </w:rPr>
        <w:t>И</w:t>
      </w:r>
      <w:r w:rsidR="00B348C6" w:rsidRPr="0093375A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ницијалним </w:t>
      </w:r>
      <w:r w:rsidR="00316D00" w:rsidRPr="0093375A">
        <w:rPr>
          <w:rFonts w:ascii="Tahoma" w:hAnsi="Tahoma" w:cs="Tahoma"/>
          <w:noProof/>
          <w:color w:val="auto"/>
          <w:sz w:val="22"/>
          <w:szCs w:val="22"/>
          <w:lang w:val="sr-Cyrl-BA"/>
        </w:rPr>
        <w:t>нацрт одлуке о буџету</w:t>
      </w:r>
      <w:r w:rsidR="00130742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DB0175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са </w:t>
      </w:r>
      <w:r w:rsidR="00130742">
        <w:rPr>
          <w:rFonts w:ascii="Tahoma" w:hAnsi="Tahoma" w:cs="Tahoma"/>
          <w:noProof/>
          <w:color w:val="auto"/>
          <w:sz w:val="22"/>
          <w:szCs w:val="22"/>
          <w:lang w:val="sr-Cyrl-BA"/>
        </w:rPr>
        <w:t>образложењем</w:t>
      </w:r>
      <w:r w:rsidR="00DB0175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се</w:t>
      </w:r>
      <w:r w:rsidR="00316D00" w:rsidRPr="0093375A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C84A28" w:rsidRPr="0093375A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објављује </w:t>
      </w:r>
      <w:r w:rsidR="00DB0175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на званичној интернет презентацији, </w:t>
      </w:r>
      <w:r w:rsidR="00A0056A">
        <w:rPr>
          <w:rFonts w:ascii="Tahoma" w:hAnsi="Tahoma" w:cs="Tahoma"/>
          <w:noProof/>
          <w:color w:val="auto"/>
          <w:sz w:val="22"/>
          <w:szCs w:val="22"/>
          <w:lang w:val="sr-Cyrl-BA"/>
        </w:rPr>
        <w:t>са позивом на достављање предлога и сугестија</w:t>
      </w:r>
      <w:r w:rsidR="004E604A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(на маил аредсу: </w:t>
      </w:r>
      <w:hyperlink r:id="rId10" w:history="1">
        <w:r w:rsidR="004E604A" w:rsidRPr="004E604A">
          <w:rPr>
            <w:rStyle w:val="account-name"/>
            <w:b/>
            <w:bCs/>
            <w:color w:val="052C53"/>
            <w:sz w:val="23"/>
            <w:szCs w:val="23"/>
            <w:bdr w:val="none" w:sz="0" w:space="0" w:color="auto" w:frame="1"/>
            <w:shd w:val="clear" w:color="auto" w:fill="FCFCFC"/>
          </w:rPr>
          <w:t>nacrtbudzeta@smederevskapalanka</w:t>
        </w:r>
        <w:r w:rsidR="004E604A" w:rsidRPr="004E604A">
          <w:rPr>
            <w:rStyle w:val="Hyperlink"/>
            <w:b/>
            <w:bCs/>
            <w:color w:val="052C53"/>
            <w:sz w:val="23"/>
            <w:szCs w:val="23"/>
            <w:u w:val="none"/>
            <w:bdr w:val="none" w:sz="0" w:space="0" w:color="auto" w:frame="1"/>
            <w:shd w:val="clear" w:color="auto" w:fill="FCFCFC"/>
          </w:rPr>
          <w:t>.rs</w:t>
        </w:r>
      </w:hyperlink>
      <w:r w:rsidR="004E604A" w:rsidRPr="004E604A">
        <w:rPr>
          <w:rStyle w:val="Strong"/>
          <w:b w:val="0"/>
          <w:bCs w:val="0"/>
          <w:color w:val="020202"/>
          <w:sz w:val="23"/>
          <w:szCs w:val="23"/>
          <w:bdr w:val="none" w:sz="0" w:space="0" w:color="auto" w:frame="1"/>
          <w:shd w:val="clear" w:color="auto" w:fill="FCFCFC"/>
          <w:lang w:val="sr-Cyrl-RS"/>
        </w:rPr>
        <w:t>)</w:t>
      </w:r>
      <w:r w:rsidR="00B503F5">
        <w:rPr>
          <w:rStyle w:val="Strong"/>
          <w:rFonts w:asciiTheme="minorHAnsi" w:hAnsiTheme="minorHAnsi"/>
          <w:color w:val="020202"/>
          <w:sz w:val="23"/>
          <w:szCs w:val="23"/>
          <w:bdr w:val="none" w:sz="0" w:space="0" w:color="auto" w:frame="1"/>
          <w:shd w:val="clear" w:color="auto" w:fill="FCFCFC"/>
          <w:lang w:val="sr-Cyrl-RS"/>
        </w:rPr>
        <w:t xml:space="preserve">. </w:t>
      </w:r>
      <w:r w:rsidR="00474604" w:rsidRPr="0093375A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</w:p>
    <w:p w14:paraId="2805065C" w14:textId="6A8C35CD" w:rsidR="001215B5" w:rsidRPr="00602879" w:rsidRDefault="007A7D59" w:rsidP="001215B5">
      <w:pPr>
        <w:spacing w:after="160" w:line="259" w:lineRule="auto"/>
        <w:jc w:val="both"/>
        <w:rPr>
          <w:rFonts w:ascii="Tahoma" w:hAnsi="Tahoma" w:cs="Tahoma"/>
          <w:noProof/>
          <w:color w:val="auto"/>
          <w:sz w:val="22"/>
          <w:szCs w:val="22"/>
          <w:lang w:val="sr-Cyrl-BA"/>
        </w:rPr>
      </w:pPr>
      <w:r>
        <w:rPr>
          <w:rFonts w:ascii="Tahoma" w:hAnsi="Tahoma" w:cs="Tahoma"/>
          <w:b/>
          <w:iCs/>
          <w:noProof/>
          <w:color w:val="auto"/>
          <w:sz w:val="22"/>
          <w:szCs w:val="22"/>
          <w:lang w:val="sr-Cyrl-RS"/>
        </w:rPr>
        <w:t xml:space="preserve">Општина </w:t>
      </w:r>
      <w:r w:rsidR="00B503F5">
        <w:rPr>
          <w:rFonts w:ascii="Tahoma" w:hAnsi="Tahoma" w:cs="Tahoma"/>
          <w:b/>
          <w:iCs/>
          <w:noProof/>
          <w:color w:val="auto"/>
          <w:sz w:val="22"/>
          <w:szCs w:val="22"/>
          <w:lang w:val="sr-Cyrl-RS"/>
        </w:rPr>
        <w:t>Смедеревска Паланка</w:t>
      </w:r>
      <w:r w:rsidR="00967958">
        <w:rPr>
          <w:rFonts w:ascii="Tahoma" w:hAnsi="Tahoma" w:cs="Tahoma"/>
          <w:b/>
          <w:iCs/>
          <w:noProof/>
          <w:color w:val="auto"/>
          <w:sz w:val="22"/>
          <w:szCs w:val="22"/>
          <w:lang w:val="sr-Cyrl-RS"/>
        </w:rPr>
        <w:t xml:space="preserve"> </w:t>
      </w:r>
      <w:r w:rsidR="001215B5">
        <w:rPr>
          <w:rFonts w:ascii="Tahoma" w:hAnsi="Tahoma" w:cs="Tahoma"/>
          <w:b/>
          <w:iCs/>
          <w:noProof/>
          <w:color w:val="auto"/>
          <w:sz w:val="22"/>
          <w:szCs w:val="22"/>
          <w:lang w:val="sr-Cyrl-BA"/>
        </w:rPr>
        <w:t xml:space="preserve">израђује </w:t>
      </w:r>
      <w:r w:rsidR="00602268">
        <w:rPr>
          <w:rFonts w:ascii="Tahoma" w:hAnsi="Tahoma" w:cs="Tahoma"/>
          <w:b/>
          <w:iCs/>
          <w:noProof/>
          <w:color w:val="auto"/>
          <w:sz w:val="22"/>
          <w:szCs w:val="22"/>
          <w:lang w:val="sr-Cyrl-BA"/>
        </w:rPr>
        <w:t xml:space="preserve">и објављује </w:t>
      </w:r>
      <w:r w:rsidR="001215B5">
        <w:rPr>
          <w:rFonts w:ascii="Tahoma" w:hAnsi="Tahoma" w:cs="Tahoma"/>
          <w:b/>
          <w:iCs/>
          <w:noProof/>
          <w:color w:val="auto"/>
          <w:sz w:val="22"/>
          <w:szCs w:val="22"/>
          <w:lang w:val="sr-Cyrl-BA"/>
        </w:rPr>
        <w:t>г</w:t>
      </w:r>
      <w:r w:rsidR="001215B5" w:rsidRPr="00602879">
        <w:rPr>
          <w:rFonts w:ascii="Tahoma" w:hAnsi="Tahoma" w:cs="Tahoma"/>
          <w:b/>
          <w:iCs/>
          <w:noProof/>
          <w:color w:val="auto"/>
          <w:sz w:val="22"/>
          <w:szCs w:val="22"/>
          <w:lang w:val="sr-Cyrl-BA"/>
        </w:rPr>
        <w:t xml:space="preserve">рађански водич кроз </w:t>
      </w:r>
      <w:r w:rsidR="001215B5">
        <w:rPr>
          <w:rFonts w:ascii="Tahoma" w:hAnsi="Tahoma" w:cs="Tahoma"/>
          <w:b/>
          <w:iCs/>
          <w:noProof/>
          <w:color w:val="auto"/>
          <w:sz w:val="22"/>
          <w:szCs w:val="22"/>
          <w:lang w:val="sr-Cyrl-BA"/>
        </w:rPr>
        <w:t xml:space="preserve">одлуку о </w:t>
      </w:r>
      <w:r w:rsidR="001215B5" w:rsidRPr="00602879">
        <w:rPr>
          <w:rFonts w:ascii="Tahoma" w:hAnsi="Tahoma" w:cs="Tahoma"/>
          <w:b/>
          <w:iCs/>
          <w:noProof/>
          <w:color w:val="auto"/>
          <w:sz w:val="22"/>
          <w:szCs w:val="22"/>
          <w:lang w:val="sr-Cyrl-BA"/>
        </w:rPr>
        <w:t>буџет</w:t>
      </w:r>
      <w:r w:rsidR="001215B5">
        <w:rPr>
          <w:rFonts w:ascii="Tahoma" w:hAnsi="Tahoma" w:cs="Tahoma"/>
          <w:b/>
          <w:iCs/>
          <w:noProof/>
          <w:color w:val="auto"/>
          <w:sz w:val="22"/>
          <w:szCs w:val="22"/>
          <w:lang w:val="sr-Cyrl-BA"/>
        </w:rPr>
        <w:t>у</w:t>
      </w:r>
      <w:r w:rsidR="004F000D">
        <w:rPr>
          <w:rFonts w:ascii="Tahoma" w:hAnsi="Tahoma" w:cs="Tahoma"/>
          <w:b/>
          <w:iCs/>
          <w:noProof/>
          <w:color w:val="auto"/>
          <w:sz w:val="22"/>
          <w:szCs w:val="22"/>
          <w:lang w:val="sr-Cyrl-BA"/>
        </w:rPr>
        <w:t>, почев од 2021. године</w:t>
      </w:r>
      <w:r w:rsidR="001215B5">
        <w:rPr>
          <w:rFonts w:ascii="Tahoma" w:hAnsi="Tahoma" w:cs="Tahoma"/>
          <w:noProof/>
          <w:color w:val="auto"/>
          <w:sz w:val="22"/>
          <w:szCs w:val="22"/>
          <w:lang w:val="sr-Cyrl-BA"/>
        </w:rPr>
        <w:t>.</w:t>
      </w:r>
      <w:r w:rsidR="001215B5" w:rsidRPr="00602879">
        <w:rPr>
          <w:rFonts w:ascii="Tahoma" w:hAnsi="Tahoma" w:cs="Tahoma"/>
          <w:i/>
          <w:noProof/>
          <w:color w:val="auto"/>
          <w:sz w:val="22"/>
          <w:szCs w:val="22"/>
          <w:lang w:val="sr-Cyrl-BA"/>
        </w:rPr>
        <w:t xml:space="preserve"> </w:t>
      </w:r>
      <w:r w:rsidR="001215B5">
        <w:rPr>
          <w:rFonts w:ascii="Tahoma" w:hAnsi="Tahoma" w:cs="Tahoma"/>
          <w:noProof/>
          <w:color w:val="auto"/>
          <w:sz w:val="22"/>
          <w:szCs w:val="22"/>
          <w:lang w:val="sr-Cyrl-BA"/>
        </w:rPr>
        <w:t>Предметни д</w:t>
      </w:r>
      <w:r w:rsidR="001215B5" w:rsidRPr="00602879">
        <w:rPr>
          <w:rFonts w:ascii="Tahoma" w:hAnsi="Tahoma" w:cs="Tahoma"/>
          <w:noProof/>
          <w:color w:val="auto"/>
          <w:sz w:val="22"/>
          <w:szCs w:val="22"/>
          <w:lang w:val="sr-Cyrl-BA"/>
        </w:rPr>
        <w:t>окумент</w:t>
      </w:r>
      <w:r w:rsidR="001215B5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на</w:t>
      </w:r>
      <w:r w:rsidR="001215B5" w:rsidRPr="00602879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разумљив начин објашњава у које сврхе се користе јавна буџетска средства </w:t>
      </w:r>
      <w:r w:rsidR="001215B5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са циљем </w:t>
      </w:r>
      <w:r w:rsidR="001215B5" w:rsidRPr="00602879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да информише грађане и да их заинтересује да учествују у процесу планирања, расподеле буџета и да прате трошење буџетских средстава. </w:t>
      </w:r>
      <w:r w:rsidR="001215B5">
        <w:rPr>
          <w:rFonts w:ascii="Tahoma" w:hAnsi="Tahoma" w:cs="Tahoma"/>
          <w:noProof/>
          <w:color w:val="auto"/>
          <w:sz w:val="22"/>
          <w:szCs w:val="22"/>
          <w:lang w:val="sr-Cyrl-BA"/>
        </w:rPr>
        <w:t>Г</w:t>
      </w:r>
      <w:r w:rsidR="001215B5" w:rsidRPr="00602879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рађански водичи садрже податке о томе шта се тачно финансира из буџета </w:t>
      </w:r>
      <w:r w:rsidR="001E1CA3">
        <w:rPr>
          <w:rFonts w:ascii="Tahoma" w:hAnsi="Tahoma" w:cs="Tahoma"/>
          <w:noProof/>
          <w:color w:val="auto"/>
          <w:sz w:val="22"/>
          <w:szCs w:val="22"/>
          <w:lang w:val="sr-Cyrl-BA"/>
        </w:rPr>
        <w:t>општине</w:t>
      </w:r>
      <w:r w:rsidR="001215B5" w:rsidRPr="00602879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, како настаје буџет, како се пуни </w:t>
      </w:r>
      <w:r>
        <w:rPr>
          <w:rFonts w:ascii="Tahoma" w:hAnsi="Tahoma" w:cs="Tahoma"/>
          <w:noProof/>
          <w:color w:val="auto"/>
          <w:sz w:val="22"/>
          <w:szCs w:val="22"/>
          <w:lang w:val="sr-Cyrl-BA"/>
        </w:rPr>
        <w:t>општин</w:t>
      </w:r>
      <w:r w:rsidR="001215B5" w:rsidRPr="00602879">
        <w:rPr>
          <w:rFonts w:ascii="Tahoma" w:hAnsi="Tahoma" w:cs="Tahoma"/>
          <w:noProof/>
          <w:color w:val="auto"/>
          <w:sz w:val="22"/>
          <w:szCs w:val="22"/>
          <w:lang w:val="sr-Cyrl-BA"/>
        </w:rPr>
        <w:t>ска каса, и који су најзначајнији расходи и издаци буџета, односно податке о капиталним инвестицијама.  Објављивање грађанског водича са списком планираних јавних инвестиц</w:t>
      </w:r>
      <w:r w:rsidR="001215B5">
        <w:rPr>
          <w:rFonts w:ascii="Tahoma" w:hAnsi="Tahoma" w:cs="Tahoma"/>
          <w:noProof/>
          <w:color w:val="auto"/>
          <w:sz w:val="22"/>
          <w:szCs w:val="22"/>
          <w:lang w:val="sr-Cyrl-BA"/>
        </w:rPr>
        <w:t>и</w:t>
      </w:r>
      <w:r w:rsidR="001215B5" w:rsidRPr="00602879">
        <w:rPr>
          <w:rFonts w:ascii="Tahoma" w:hAnsi="Tahoma" w:cs="Tahoma"/>
          <w:noProof/>
          <w:color w:val="auto"/>
          <w:sz w:val="22"/>
          <w:szCs w:val="22"/>
          <w:lang w:val="sr-Cyrl-BA"/>
        </w:rPr>
        <w:t>ја заузима посебно важно место у контексту обавезе ЈЛС да у складу са Законом о локалној самоуправа</w:t>
      </w:r>
      <w:r w:rsidR="001215B5" w:rsidRPr="00602879">
        <w:rPr>
          <w:rStyle w:val="FootnoteReference"/>
          <w:rFonts w:ascii="Tahoma" w:hAnsi="Tahoma" w:cs="Tahoma"/>
          <w:noProof/>
          <w:color w:val="auto"/>
          <w:sz w:val="22"/>
          <w:szCs w:val="22"/>
          <w:lang w:val="sr-Cyrl-BA"/>
        </w:rPr>
        <w:footnoteReference w:id="3"/>
      </w:r>
      <w:r w:rsidR="001215B5" w:rsidRPr="00602879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организују јавну расправу о делу локалног буџета намењеног јавним инвестицијама и информишу грађане о реализацији планираних капиталних пројеката током наредног периода.  </w:t>
      </w:r>
    </w:p>
    <w:p w14:paraId="00246B0E" w14:textId="412A7544" w:rsidR="00FE166D" w:rsidRDefault="00A56B98" w:rsidP="00602879">
      <w:pPr>
        <w:spacing w:after="160" w:line="259" w:lineRule="auto"/>
        <w:jc w:val="both"/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E65613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Принципи родно одговорног буџетирања се спроводе </w:t>
      </w:r>
      <w:r w:rsidR="006F477B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при</w:t>
      </w:r>
      <w:r w:rsidRPr="00E65613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 доношењ</w:t>
      </w:r>
      <w:r w:rsidR="006F477B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у</w:t>
      </w:r>
      <w:r w:rsidRPr="00E65613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 и реализациј</w:t>
      </w:r>
      <w:r w:rsidR="006F477B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и</w:t>
      </w:r>
      <w:r w:rsidRPr="00E65613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 годишњих одлука о буџету </w:t>
      </w:r>
      <w:r w:rsidR="007A7D59" w:rsidRPr="00E65613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општине </w:t>
      </w:r>
      <w:r w:rsidR="00CC1B1E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Смедеревска Паланка</w:t>
      </w:r>
      <w:r w:rsidRPr="00E65613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.</w:t>
      </w:r>
      <w:r w:rsidRPr="00AC6BDF">
        <w:rPr>
          <w:rFonts w:ascii="Tahoma" w:hAnsi="Tahoma" w:cs="Tahoma"/>
          <w:b/>
          <w:bCs/>
          <w:noProof/>
          <w:color w:val="FF0000"/>
          <w:sz w:val="22"/>
          <w:szCs w:val="22"/>
          <w:lang w:val="sr-Cyrl-RS"/>
        </w:rPr>
        <w:t xml:space="preserve"> </w:t>
      </w:r>
      <w:r w:rsidR="00DD2485">
        <w:rPr>
          <w:rFonts w:ascii="Tahoma" w:hAnsi="Tahoma" w:cs="Tahoma"/>
          <w:noProof/>
          <w:sz w:val="22"/>
          <w:szCs w:val="22"/>
          <w:lang w:val="sr-Cyrl-RS"/>
        </w:rPr>
        <w:t>Сходно прописима којима се уређује буџетски систем, н</w:t>
      </w:r>
      <w:r w:rsidR="00346A83" w:rsidRPr="00A56B98">
        <w:rPr>
          <w:rFonts w:ascii="Tahoma" w:hAnsi="Tahoma" w:cs="Tahoma"/>
          <w:noProof/>
          <w:sz w:val="22"/>
          <w:szCs w:val="22"/>
          <w:lang w:val="sr-Cyrl-BA"/>
        </w:rPr>
        <w:t xml:space="preserve">адлежни орган </w:t>
      </w:r>
      <w:r w:rsidR="001E1CA3">
        <w:rPr>
          <w:rFonts w:ascii="Tahoma" w:hAnsi="Tahoma" w:cs="Tahoma"/>
          <w:noProof/>
          <w:sz w:val="22"/>
          <w:szCs w:val="22"/>
          <w:lang w:val="sr-Cyrl-BA"/>
        </w:rPr>
        <w:t>општине</w:t>
      </w:r>
      <w:r w:rsidR="00346A83" w:rsidRPr="00A56B98">
        <w:rPr>
          <w:rFonts w:ascii="Tahoma" w:hAnsi="Tahoma" w:cs="Tahoma"/>
          <w:noProof/>
          <w:sz w:val="22"/>
          <w:szCs w:val="22"/>
          <w:lang w:val="sr-Cyrl-BA"/>
        </w:rPr>
        <w:t xml:space="preserve"> </w:t>
      </w:r>
      <w:r w:rsidR="00DD2485">
        <w:rPr>
          <w:rFonts w:ascii="Tahoma" w:hAnsi="Tahoma" w:cs="Tahoma"/>
          <w:noProof/>
          <w:sz w:val="22"/>
          <w:szCs w:val="22"/>
          <w:lang w:val="sr-Cyrl-BA"/>
        </w:rPr>
        <w:t xml:space="preserve">за послове финансија </w:t>
      </w:r>
      <w:r w:rsidR="00645988">
        <w:rPr>
          <w:rFonts w:ascii="Tahoma" w:hAnsi="Tahoma" w:cs="Tahoma"/>
          <w:noProof/>
          <w:sz w:val="22"/>
          <w:szCs w:val="22"/>
          <w:lang w:val="sr-Cyrl-RS"/>
        </w:rPr>
        <w:t xml:space="preserve">треба да </w:t>
      </w:r>
      <w:r w:rsidR="00346A83" w:rsidRPr="00A56B98">
        <w:rPr>
          <w:rFonts w:ascii="Tahoma" w:hAnsi="Tahoma" w:cs="Tahoma"/>
          <w:noProof/>
          <w:sz w:val="22"/>
          <w:szCs w:val="22"/>
          <w:lang w:val="sr-Cyrl-BA"/>
        </w:rPr>
        <w:t>доноси годишње планове за поступно увођење родно одговорног буџетирања</w:t>
      </w:r>
      <w:r w:rsidR="00645988">
        <w:rPr>
          <w:rFonts w:ascii="Tahoma" w:hAnsi="Tahoma" w:cs="Tahoma"/>
          <w:noProof/>
          <w:sz w:val="22"/>
          <w:szCs w:val="22"/>
          <w:lang w:val="sr-Cyrl-BA"/>
        </w:rPr>
        <w:t>.</w:t>
      </w:r>
      <w:r w:rsidR="00346A83">
        <w:rPr>
          <w:rFonts w:ascii="Tahoma" w:hAnsi="Tahoma" w:cs="Tahoma"/>
          <w:noProof/>
          <w:sz w:val="22"/>
          <w:szCs w:val="22"/>
          <w:lang w:val="sr-Cyrl-BA"/>
        </w:rPr>
        <w:t xml:space="preserve"> </w:t>
      </w:r>
      <w:r w:rsidR="00326D72">
        <w:rPr>
          <w:rFonts w:ascii="Tahoma" w:hAnsi="Tahoma" w:cs="Tahoma"/>
          <w:noProof/>
          <w:sz w:val="22"/>
          <w:szCs w:val="22"/>
          <w:lang w:val="sr-Cyrl-RS"/>
        </w:rPr>
        <w:t xml:space="preserve">Годишњим планом треба да буду одређени поједини корисници буџета, односно један или више програма  за који ће се дефинисати родно одговорни циљеви и одговарајући показатељи (индикатори). </w:t>
      </w:r>
      <w:r w:rsidR="00316D00" w:rsidRPr="00602879">
        <w:rPr>
          <w:rFonts w:ascii="Tahoma" w:hAnsi="Tahoma" w:cs="Tahoma"/>
          <w:noProof/>
          <w:sz w:val="22"/>
          <w:szCs w:val="22"/>
          <w:lang w:val="sr-Cyrl-BA"/>
        </w:rPr>
        <w:t>За законито и квалитетно увођење родне перспективе у процес припреме и извршења буџета од значаја су и други законски и стратешки документи, као што су Закон о равноправности полов</w:t>
      </w:r>
      <w:r w:rsidR="0082317C" w:rsidRPr="00602879">
        <w:rPr>
          <w:rFonts w:ascii="Tahoma" w:hAnsi="Tahoma" w:cs="Tahoma"/>
          <w:noProof/>
          <w:sz w:val="22"/>
          <w:szCs w:val="22"/>
          <w:lang w:val="sr-Cyrl-BA"/>
        </w:rPr>
        <w:t>а</w:t>
      </w:r>
      <w:r w:rsidR="00316D00" w:rsidRPr="00602879">
        <w:rPr>
          <w:rStyle w:val="FootnoteAnchor"/>
          <w:rFonts w:ascii="Tahoma" w:hAnsi="Tahoma" w:cs="Tahoma"/>
          <w:noProof/>
          <w:sz w:val="22"/>
          <w:szCs w:val="22"/>
          <w:lang w:val="sr-Cyrl-BA"/>
        </w:rPr>
        <w:footnoteReference w:id="4"/>
      </w:r>
      <w:r w:rsidR="00316D00"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и Национална стратегија за родну равноправност за период 2016. до 2020. године са Акционим планом за период 2016-2018. године</w:t>
      </w:r>
      <w:r w:rsidR="00316D00" w:rsidRPr="00602879">
        <w:rPr>
          <w:rStyle w:val="FootnoteAnchor"/>
          <w:rFonts w:ascii="Tahoma" w:hAnsi="Tahoma" w:cs="Tahoma"/>
          <w:noProof/>
          <w:sz w:val="22"/>
          <w:szCs w:val="22"/>
          <w:lang w:val="sr-Cyrl-BA"/>
        </w:rPr>
        <w:footnoteReference w:id="5"/>
      </w:r>
      <w:r w:rsidR="00316D00"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, као и плански документи усвојени на нивоу локалне самоуправе. </w:t>
      </w:r>
      <w:r w:rsidR="004C0964" w:rsidRPr="00602879">
        <w:rPr>
          <w:rFonts w:ascii="Tahoma" w:hAnsi="Tahoma" w:cs="Tahoma"/>
          <w:noProof/>
          <w:sz w:val="22"/>
          <w:szCs w:val="22"/>
          <w:lang w:val="sr-Cyrl-BA"/>
        </w:rPr>
        <w:t>П</w:t>
      </w:r>
      <w:r w:rsidR="00316D00" w:rsidRPr="00602879">
        <w:rPr>
          <w:rFonts w:ascii="Tahoma" w:hAnsi="Tahoma" w:cs="Tahoma"/>
          <w:noProof/>
          <w:sz w:val="22"/>
          <w:szCs w:val="22"/>
          <w:lang w:val="sr-Cyrl-BA"/>
        </w:rPr>
        <w:t>ринцип</w:t>
      </w:r>
      <w:r w:rsidR="004C0964" w:rsidRPr="00602879">
        <w:rPr>
          <w:rFonts w:ascii="Tahoma" w:hAnsi="Tahoma" w:cs="Tahoma"/>
          <w:noProof/>
          <w:sz w:val="22"/>
          <w:szCs w:val="22"/>
          <w:lang w:val="sr-Cyrl-BA"/>
        </w:rPr>
        <w:t>и</w:t>
      </w:r>
      <w:r w:rsidR="00316D00"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родне равноправности </w:t>
      </w:r>
      <w:r w:rsidR="00645988">
        <w:rPr>
          <w:rFonts w:ascii="Tahoma" w:hAnsi="Tahoma" w:cs="Tahoma"/>
          <w:noProof/>
          <w:sz w:val="22"/>
          <w:szCs w:val="22"/>
          <w:lang w:val="sr-Cyrl-BA"/>
        </w:rPr>
        <w:t>треба да буду</w:t>
      </w:r>
      <w:r w:rsidR="004C0964"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 интегрисани </w:t>
      </w:r>
      <w:r w:rsidR="00316D00"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у буџетско </w:t>
      </w:r>
      <w:r w:rsidR="004C0964" w:rsidRPr="00602879">
        <w:rPr>
          <w:rFonts w:ascii="Tahoma" w:hAnsi="Tahoma" w:cs="Tahoma"/>
          <w:noProof/>
          <w:sz w:val="22"/>
          <w:szCs w:val="22"/>
          <w:lang w:val="sr-Cyrl-BA"/>
        </w:rPr>
        <w:t xml:space="preserve">планирање и </w:t>
      </w:r>
      <w:r w:rsidR="00316D00" w:rsidRPr="00602879">
        <w:rPr>
          <w:rFonts w:ascii="Tahoma" w:hAnsi="Tahoma" w:cs="Tahoma"/>
          <w:noProof/>
          <w:sz w:val="22"/>
          <w:szCs w:val="22"/>
          <w:lang w:val="sr-Cyrl-BA"/>
        </w:rPr>
        <w:t>пословање</w:t>
      </w:r>
      <w:r w:rsidR="00645988">
        <w:rPr>
          <w:rFonts w:ascii="Tahoma" w:hAnsi="Tahoma" w:cs="Tahoma"/>
          <w:noProof/>
          <w:sz w:val="22"/>
          <w:szCs w:val="22"/>
          <w:lang w:val="sr-Cyrl-BA"/>
        </w:rPr>
        <w:t xml:space="preserve"> у појединим програмима буџета локалне власти и праћени кроз израду полугодишњег и годишњег извештаја о учинку програма. </w:t>
      </w:r>
      <w:r w:rsidR="00CC1B1E">
        <w:rPr>
          <w:rFonts w:ascii="Tahoma" w:hAnsi="Tahoma" w:cs="Tahoma"/>
          <w:noProof/>
          <w:sz w:val="22"/>
          <w:szCs w:val="22"/>
          <w:lang w:val="sr-Cyrl-BA"/>
        </w:rPr>
        <w:t>П</w:t>
      </w:r>
      <w:r w:rsidR="00BE2945" w:rsidRPr="00E65613">
        <w:rPr>
          <w:rFonts w:ascii="Tahoma" w:hAnsi="Tahoma" w:cs="Tahoma"/>
          <w:noProof/>
          <w:color w:val="auto"/>
          <w:sz w:val="22"/>
          <w:szCs w:val="22"/>
          <w:lang w:val="sr-Cyrl-RS"/>
        </w:rPr>
        <w:t>лан</w:t>
      </w:r>
      <w:r w:rsidR="00CC1B1E">
        <w:rPr>
          <w:rFonts w:ascii="Tahoma" w:hAnsi="Tahoma" w:cs="Tahoma"/>
          <w:noProof/>
          <w:color w:val="auto"/>
          <w:sz w:val="22"/>
          <w:szCs w:val="22"/>
          <w:lang w:val="sr-Cyrl-RS"/>
        </w:rPr>
        <w:t>ови</w:t>
      </w:r>
      <w:r w:rsidR="00BE2945" w:rsidRPr="00E65613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поступног увођења родно одговорног буџетирања</w:t>
      </w:r>
      <w:r w:rsidR="00A71595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CC1B1E">
        <w:rPr>
          <w:rFonts w:ascii="Tahoma" w:hAnsi="Tahoma" w:cs="Tahoma"/>
          <w:noProof/>
          <w:color w:val="auto"/>
          <w:sz w:val="22"/>
          <w:szCs w:val="22"/>
          <w:lang w:val="sr-Cyrl-RS"/>
        </w:rPr>
        <w:t>су</w:t>
      </w:r>
      <w:r w:rsidR="00A71595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донет</w:t>
      </w:r>
      <w:r w:rsidR="00CC1B1E">
        <w:rPr>
          <w:rFonts w:ascii="Tahoma" w:hAnsi="Tahoma" w:cs="Tahoma"/>
          <w:noProof/>
          <w:color w:val="auto"/>
          <w:sz w:val="22"/>
          <w:szCs w:val="22"/>
          <w:lang w:val="sr-Cyrl-RS"/>
        </w:rPr>
        <w:t>и</w:t>
      </w:r>
      <w:r w:rsidR="00422392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од стране надлежног Одељења за финансије и</w:t>
      </w:r>
      <w:r w:rsidR="009107C2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предметни</w:t>
      </w:r>
      <w:r w:rsidR="0001015E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принципи </w:t>
      </w:r>
      <w:r w:rsidR="00D8021E">
        <w:rPr>
          <w:rFonts w:ascii="Tahoma" w:hAnsi="Tahoma" w:cs="Tahoma"/>
          <w:noProof/>
          <w:color w:val="auto"/>
          <w:sz w:val="22"/>
          <w:szCs w:val="22"/>
          <w:lang w:val="sr-Cyrl-RS"/>
        </w:rPr>
        <w:t>родно одговорног буџетирања</w:t>
      </w:r>
      <w:r w:rsidR="0001015E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су инкорпорирани у поступак израде програмског буџета општине у анализираном периоду</w:t>
      </w:r>
      <w:r w:rsidR="00A71595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, </w:t>
      </w:r>
      <w:r w:rsidR="009107C2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али искључиво у програмима 9 – </w:t>
      </w:r>
      <w:r w:rsidR="009107C2">
        <w:rPr>
          <w:rFonts w:ascii="Tahoma" w:hAnsi="Tahoma" w:cs="Tahoma"/>
          <w:noProof/>
          <w:color w:val="auto"/>
          <w:sz w:val="22"/>
          <w:szCs w:val="22"/>
          <w:lang w:val="sr-Cyrl-RS"/>
        </w:rPr>
        <w:lastRenderedPageBreak/>
        <w:t xml:space="preserve">Основно образовање </w:t>
      </w:r>
      <w:r w:rsidR="00F17723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и 10 – Средње образовање. </w:t>
      </w:r>
      <w:r w:rsidR="00F04213">
        <w:rPr>
          <w:rFonts w:ascii="Tahoma" w:hAnsi="Tahoma" w:cs="Tahoma"/>
          <w:noProof/>
          <w:color w:val="auto"/>
          <w:sz w:val="22"/>
          <w:szCs w:val="22"/>
          <w:lang w:val="sr-Cyrl-RS"/>
        </w:rPr>
        <w:t>Међутим,</w:t>
      </w:r>
      <w:r w:rsidR="00A71595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извештај о учинку родно одговорног буџетирања </w:t>
      </w:r>
      <w:r w:rsidR="00F04213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није представљен </w:t>
      </w:r>
      <w:r w:rsidR="00A71595">
        <w:rPr>
          <w:rFonts w:ascii="Tahoma" w:hAnsi="Tahoma" w:cs="Tahoma"/>
          <w:noProof/>
          <w:color w:val="auto"/>
          <w:sz w:val="22"/>
          <w:szCs w:val="22"/>
          <w:lang w:val="sr-Cyrl-RS"/>
        </w:rPr>
        <w:t>у завршн</w:t>
      </w:r>
      <w:r w:rsidR="00F04213">
        <w:rPr>
          <w:rFonts w:ascii="Tahoma" w:hAnsi="Tahoma" w:cs="Tahoma"/>
          <w:noProof/>
          <w:color w:val="auto"/>
          <w:sz w:val="22"/>
          <w:szCs w:val="22"/>
          <w:lang w:val="sr-Cyrl-RS"/>
        </w:rPr>
        <w:t>ом</w:t>
      </w:r>
      <w:r w:rsidR="00A71595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рачун</w:t>
      </w:r>
      <w:r w:rsidR="00F04213">
        <w:rPr>
          <w:rFonts w:ascii="Tahoma" w:hAnsi="Tahoma" w:cs="Tahoma"/>
          <w:noProof/>
          <w:color w:val="auto"/>
          <w:sz w:val="22"/>
          <w:szCs w:val="22"/>
          <w:lang w:val="sr-Cyrl-RS"/>
        </w:rPr>
        <w:t>у</w:t>
      </w:r>
      <w:r w:rsidR="00A71595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буџета општине. </w:t>
      </w:r>
      <w:r w:rsidR="0001015E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</w:p>
    <w:p w14:paraId="6B4C8AC0" w14:textId="77777777" w:rsidR="00145C62" w:rsidRPr="00B90E1B" w:rsidRDefault="00145C62" w:rsidP="00602879">
      <w:pPr>
        <w:spacing w:after="160" w:line="259" w:lineRule="auto"/>
        <w:jc w:val="both"/>
        <w:rPr>
          <w:rFonts w:ascii="Tahoma" w:hAnsi="Tahoma" w:cs="Tahoma"/>
          <w:noProof/>
          <w:color w:val="FF0000"/>
          <w:sz w:val="22"/>
          <w:szCs w:val="22"/>
          <w:lang w:val="sr-Cyrl-RS"/>
        </w:rPr>
      </w:pPr>
    </w:p>
    <w:p w14:paraId="26525DD9" w14:textId="7BC0C967" w:rsidR="00F04213" w:rsidRPr="00F04213" w:rsidRDefault="00F86AE5" w:rsidP="004C0964">
      <w:pPr>
        <w:spacing w:after="120"/>
        <w:jc w:val="both"/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</w:pPr>
      <w:r w:rsidRPr="005241B1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 xml:space="preserve">2. Анализа основне структуре прихода и примања у буџету </w:t>
      </w:r>
      <w:r w:rsidR="00706036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 xml:space="preserve">општине </w:t>
      </w:r>
      <w:r w:rsidR="00F04213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>Смедеревска Паланка</w:t>
      </w:r>
    </w:p>
    <w:p w14:paraId="1905B659" w14:textId="7BC9D96F" w:rsidR="00AF0875" w:rsidRPr="00C72300" w:rsidRDefault="00C72300" w:rsidP="00AF0875">
      <w:pPr>
        <w:spacing w:after="160" w:line="259" w:lineRule="auto"/>
        <w:jc w:val="both"/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</w:pPr>
      <w:r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Структура прихода и примања буџета </w:t>
      </w:r>
      <w:r w:rsidR="00706036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општине </w:t>
      </w:r>
      <w:r w:rsidR="00A71595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С</w:t>
      </w:r>
      <w:r w:rsidR="0079567A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медеревска Паланка</w:t>
      </w:r>
      <w:r w:rsidR="0064294C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 </w:t>
      </w:r>
      <w:r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састоји се од пореских прихода (порези на доходак, порез на имовину и других пореза), трансфера, осталих прихода и различитих примања. </w:t>
      </w:r>
      <w:r w:rsidR="00AF0875" w:rsidRPr="00C72300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Приходи и примања буџета јединица локалне самоуправе утврђени су Законом о финансирању локалне самоуправе</w:t>
      </w:r>
      <w:r w:rsidR="00AF0875" w:rsidRPr="00C72300">
        <w:rPr>
          <w:rStyle w:val="FootnoteReference"/>
          <w:rFonts w:ascii="Tahoma" w:hAnsi="Tahoma" w:cs="Tahoma"/>
          <w:noProof/>
          <w:color w:val="auto"/>
          <w:sz w:val="22"/>
          <w:szCs w:val="22"/>
          <w:lang w:val="sr-Cyrl-RS"/>
        </w:rPr>
        <w:footnoteReference w:id="6"/>
      </w:r>
      <w:r w:rsidR="009F3953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у виду </w:t>
      </w:r>
      <w:r w:rsidR="00AF0875" w:rsidRPr="00AF0875">
        <w:rPr>
          <w:rStyle w:val="Heading1Char"/>
          <w:rFonts w:ascii="Tahoma" w:hAnsi="Tahoma" w:cs="Tahoma"/>
          <w:noProof/>
          <w:color w:val="auto"/>
          <w:sz w:val="22"/>
          <w:szCs w:val="22"/>
          <w:lang w:val="en-US"/>
        </w:rPr>
        <w:t>изворни</w:t>
      </w:r>
      <w:r w:rsidR="009F3953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х</w:t>
      </w:r>
      <w:r w:rsidR="00AF0875" w:rsidRPr="00AF0875">
        <w:rPr>
          <w:rStyle w:val="Heading1Char"/>
          <w:rFonts w:ascii="Tahoma" w:hAnsi="Tahoma" w:cs="Tahoma"/>
          <w:noProof/>
          <w:color w:val="auto"/>
          <w:sz w:val="22"/>
          <w:szCs w:val="22"/>
          <w:lang w:val="en-US"/>
        </w:rPr>
        <w:t xml:space="preserve"> приход</w:t>
      </w:r>
      <w:r w:rsidR="009F3953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а</w:t>
      </w:r>
      <w:r w:rsidR="00AF0875" w:rsidRPr="00AF0875">
        <w:rPr>
          <w:rStyle w:val="Heading1Char"/>
          <w:rFonts w:ascii="Tahoma" w:hAnsi="Tahoma" w:cs="Tahoma"/>
          <w:noProof/>
          <w:color w:val="auto"/>
          <w:sz w:val="22"/>
          <w:szCs w:val="22"/>
          <w:lang w:val="en-US"/>
        </w:rPr>
        <w:t xml:space="preserve"> чију стопу, односно начин и мерила за утврђивање висине износа, утврђује јединица локалне самоуправе, уступљени</w:t>
      </w:r>
      <w:r w:rsidR="009F3953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х</w:t>
      </w:r>
      <w:r w:rsidR="00AF0875" w:rsidRPr="00AF0875">
        <w:rPr>
          <w:rStyle w:val="Heading1Char"/>
          <w:rFonts w:ascii="Tahoma" w:hAnsi="Tahoma" w:cs="Tahoma"/>
          <w:noProof/>
          <w:color w:val="auto"/>
          <w:sz w:val="22"/>
          <w:szCs w:val="22"/>
          <w:lang w:val="en-US"/>
        </w:rPr>
        <w:t xml:space="preserve"> приход</w:t>
      </w:r>
      <w:r w:rsidR="009F3953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а</w:t>
      </w:r>
      <w:r w:rsidR="00AF0875" w:rsidRPr="00AF0875">
        <w:rPr>
          <w:rStyle w:val="Heading1Char"/>
          <w:rFonts w:ascii="Tahoma" w:hAnsi="Tahoma" w:cs="Tahoma"/>
          <w:noProof/>
          <w:color w:val="auto"/>
          <w:sz w:val="22"/>
          <w:szCs w:val="22"/>
          <w:lang w:val="en-US"/>
        </w:rPr>
        <w:t xml:space="preserve"> чија се основица и стопа, односно начин и мерила за утврђивање висине износа утврђују законом, а приход остварен на територији јединице локалне самоуправе се уступа у целини или делимично </w:t>
      </w:r>
      <w:r w:rsidR="009F3953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конкретној </w:t>
      </w:r>
      <w:r w:rsidR="00AF0875" w:rsidRPr="00AF0875">
        <w:rPr>
          <w:rStyle w:val="Heading1Char"/>
          <w:rFonts w:ascii="Tahoma" w:hAnsi="Tahoma" w:cs="Tahoma"/>
          <w:noProof/>
          <w:color w:val="auto"/>
          <w:sz w:val="22"/>
          <w:szCs w:val="22"/>
          <w:lang w:val="en-US"/>
        </w:rPr>
        <w:t>јединици локалне самоуправе</w:t>
      </w:r>
      <w:r w:rsidR="009F3953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, затим </w:t>
      </w:r>
      <w:r w:rsidR="002E3A39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у виду </w:t>
      </w:r>
      <w:r w:rsidR="00AF0875" w:rsidRPr="00AF0875">
        <w:rPr>
          <w:rStyle w:val="Heading1Char"/>
          <w:rFonts w:ascii="Tahoma" w:hAnsi="Tahoma" w:cs="Tahoma"/>
          <w:noProof/>
          <w:color w:val="auto"/>
          <w:sz w:val="22"/>
          <w:szCs w:val="22"/>
          <w:lang w:val="en-US"/>
        </w:rPr>
        <w:t xml:space="preserve"> ненаменск</w:t>
      </w:r>
      <w:r w:rsidR="002E3A39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ог</w:t>
      </w:r>
      <w:r w:rsidR="00AF0875" w:rsidRPr="00AF0875">
        <w:rPr>
          <w:rStyle w:val="Heading1Char"/>
          <w:rFonts w:ascii="Tahoma" w:hAnsi="Tahoma" w:cs="Tahoma"/>
          <w:noProof/>
          <w:color w:val="auto"/>
          <w:sz w:val="22"/>
          <w:szCs w:val="22"/>
          <w:lang w:val="en-US"/>
        </w:rPr>
        <w:t xml:space="preserve"> трансфер</w:t>
      </w:r>
      <w:r w:rsidR="002E3A39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а што представља </w:t>
      </w:r>
      <w:r w:rsidR="00AF0875" w:rsidRPr="00AF0875">
        <w:rPr>
          <w:rStyle w:val="Heading1Char"/>
          <w:rFonts w:ascii="Tahoma" w:hAnsi="Tahoma" w:cs="Tahoma"/>
          <w:noProof/>
          <w:color w:val="auto"/>
          <w:sz w:val="22"/>
          <w:szCs w:val="22"/>
          <w:lang w:val="en-US"/>
        </w:rPr>
        <w:t>збир трансфера за уједначавање, општег, компензационог и трансфера солидарности</w:t>
      </w:r>
      <w:r w:rsidR="002E3A39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, односно </w:t>
      </w:r>
      <w:r w:rsidR="00AF0875" w:rsidRPr="00AF0875">
        <w:rPr>
          <w:rStyle w:val="Heading1Char"/>
          <w:rFonts w:ascii="Tahoma" w:hAnsi="Tahoma" w:cs="Tahoma"/>
          <w:noProof/>
          <w:color w:val="auto"/>
          <w:sz w:val="22"/>
          <w:szCs w:val="22"/>
          <w:lang w:val="en-US"/>
        </w:rPr>
        <w:t>наменск</w:t>
      </w:r>
      <w:r w:rsidR="002E3A39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ог</w:t>
      </w:r>
      <w:r w:rsidR="00AF0875" w:rsidRPr="00AF0875">
        <w:rPr>
          <w:rStyle w:val="Heading1Char"/>
          <w:rFonts w:ascii="Tahoma" w:hAnsi="Tahoma" w:cs="Tahoma"/>
          <w:noProof/>
          <w:color w:val="auto"/>
          <w:sz w:val="22"/>
          <w:szCs w:val="22"/>
          <w:lang w:val="en-US"/>
        </w:rPr>
        <w:t xml:space="preserve"> трансфер</w:t>
      </w:r>
      <w:r w:rsidR="002E3A39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а</w:t>
      </w:r>
      <w:r w:rsidR="00AF0875" w:rsidRPr="00AF0875">
        <w:rPr>
          <w:rStyle w:val="Heading1Char"/>
          <w:rFonts w:ascii="Tahoma" w:hAnsi="Tahoma" w:cs="Tahoma"/>
          <w:noProof/>
          <w:color w:val="auto"/>
          <w:sz w:val="22"/>
          <w:szCs w:val="22"/>
          <w:lang w:val="en-US"/>
        </w:rPr>
        <w:t xml:space="preserve"> који се користи за финансирање одређених функција и издатака</w:t>
      </w:r>
      <w:r w:rsidR="002E3A39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. </w:t>
      </w:r>
    </w:p>
    <w:p w14:paraId="06B414FC" w14:textId="5C6E9AE3" w:rsidR="004D1026" w:rsidRDefault="002E3A39" w:rsidP="00C542C5">
      <w:pPr>
        <w:spacing w:after="160" w:line="259" w:lineRule="auto"/>
        <w:jc w:val="both"/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</w:pPr>
      <w:r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У наредном табеларном приказу </w:t>
      </w:r>
      <w:r w:rsidRPr="00E70E7B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представљен</w:t>
      </w:r>
      <w:r w:rsidR="00E505E2" w:rsidRPr="00E70E7B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е</w:t>
      </w:r>
      <w:r w:rsidRPr="00E70E7B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 су</w:t>
      </w:r>
      <w:r w:rsidR="00E505E2" w:rsidRPr="00E70E7B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 главне категорије</w:t>
      </w:r>
      <w:r w:rsidRPr="00E70E7B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 приход</w:t>
      </w:r>
      <w:r w:rsidR="00E505E2" w:rsidRPr="00E70E7B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а</w:t>
      </w:r>
      <w:r w:rsidRPr="00E70E7B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 и примања</w:t>
      </w:r>
      <w:r w:rsidR="00E505E2">
        <w:rPr>
          <w:rStyle w:val="FootnoteReference"/>
          <w:rFonts w:ascii="Tahoma" w:hAnsi="Tahoma" w:cs="Tahoma"/>
          <w:noProof/>
          <w:color w:val="auto"/>
          <w:sz w:val="22"/>
          <w:szCs w:val="22"/>
          <w:lang w:val="sr-Cyrl-RS"/>
        </w:rPr>
        <w:footnoteReference w:id="7"/>
      </w:r>
      <w:r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буџета </w:t>
      </w:r>
      <w:r w:rsidR="00706036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општине </w:t>
      </w:r>
      <w:r w:rsidR="00A71595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С</w:t>
      </w:r>
      <w:r w:rsidR="0079567A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медеревска Паланка</w:t>
      </w:r>
      <w:r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E505E2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у периоду од 2017-2021, према њиховом остварењу у конкретним буџетским годинама. </w:t>
      </w:r>
    </w:p>
    <w:p w14:paraId="3DBF272D" w14:textId="453B8D88" w:rsidR="004D1026" w:rsidRDefault="004D1026" w:rsidP="00C542C5">
      <w:pPr>
        <w:spacing w:after="160" w:line="259" w:lineRule="auto"/>
        <w:jc w:val="both"/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4D1026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Табела бр. 1.</w:t>
      </w:r>
      <w:r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 Структура прихода и примања буџета </w:t>
      </w:r>
      <w:r w:rsidR="00706036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општине </w:t>
      </w:r>
      <w:r w:rsidR="00A71595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С</w:t>
      </w:r>
      <w:r w:rsidR="0079567A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медеревска Паланка</w:t>
      </w:r>
      <w:r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у периоду од 2017. до 2021. године</w:t>
      </w:r>
    </w:p>
    <w:p w14:paraId="6B0C0360" w14:textId="4FD956D9" w:rsidR="00744909" w:rsidRPr="00744909" w:rsidRDefault="00744909" w:rsidP="00744909">
      <w:pPr>
        <w:tabs>
          <w:tab w:val="left" w:pos="295"/>
          <w:tab w:val="right" w:pos="9360"/>
        </w:tabs>
        <w:spacing w:after="120"/>
        <w:rPr>
          <w:rStyle w:val="Heading1Char"/>
          <w:rFonts w:ascii="Tahoma" w:hAnsi="Tahoma" w:cs="Tahoma"/>
          <w:bCs/>
          <w:iCs/>
          <w:color w:val="000000"/>
          <w:sz w:val="16"/>
          <w:szCs w:val="16"/>
          <w:lang w:val="sr-Cyrl-BA"/>
        </w:rPr>
      </w:pPr>
      <w:r w:rsidRPr="00744909">
        <w:rPr>
          <w:rFonts w:ascii="Tahoma" w:hAnsi="Tahoma" w:cs="Tahoma"/>
          <w:bCs/>
          <w:iCs/>
          <w:sz w:val="16"/>
          <w:szCs w:val="16"/>
          <w:lang w:val="sr-Cyrl-BA"/>
        </w:rPr>
        <w:tab/>
      </w:r>
      <w:r w:rsidRPr="00744909">
        <w:rPr>
          <w:rFonts w:ascii="Tahoma" w:hAnsi="Tahoma" w:cs="Tahoma"/>
          <w:bCs/>
          <w:iCs/>
          <w:sz w:val="16"/>
          <w:szCs w:val="16"/>
          <w:lang w:val="sr-Cyrl-BA"/>
        </w:rPr>
        <w:tab/>
        <w:t>у 000 динара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160"/>
        <w:gridCol w:w="1890"/>
        <w:gridCol w:w="1710"/>
        <w:gridCol w:w="1530"/>
        <w:gridCol w:w="1530"/>
        <w:gridCol w:w="1530"/>
      </w:tblGrid>
      <w:tr w:rsidR="00706036" w:rsidRPr="00744909" w14:paraId="7F946E3C" w14:textId="77777777" w:rsidTr="00706036">
        <w:trPr>
          <w:trHeight w:val="97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2B07049" w14:textId="77777777" w:rsidR="00706036" w:rsidRPr="00706036" w:rsidRDefault="00706036" w:rsidP="00706036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706036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5D09256" w14:textId="77777777" w:rsidR="00706036" w:rsidRPr="00706036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706036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Укупни буџетски приходи и примања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D8AC3B5" w14:textId="77777777" w:rsidR="00706036" w:rsidRPr="00706036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706036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Порези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F82E81E" w14:textId="77777777" w:rsidR="00706036" w:rsidRPr="00706036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706036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Порез на доходак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C0FC048" w14:textId="77777777" w:rsidR="00706036" w:rsidRPr="00706036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706036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Порез на имовину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3506DE3" w14:textId="77777777" w:rsidR="00706036" w:rsidRPr="00706036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706036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Други порези</w:t>
            </w:r>
          </w:p>
        </w:tc>
      </w:tr>
      <w:tr w:rsidR="00706036" w:rsidRPr="00744909" w14:paraId="1B8D6763" w14:textId="77777777" w:rsidTr="00706036">
        <w:trPr>
          <w:trHeight w:val="40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5ECA7" w14:textId="77777777" w:rsidR="00706036" w:rsidRPr="00706036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706036"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4C26D" w14:textId="77777777" w:rsidR="00706036" w:rsidRPr="00706036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706036"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  <w:t>1 = 2 + 6 + 7 + 8 + 9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37789" w14:textId="77777777" w:rsidR="00706036" w:rsidRPr="00706036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706036"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  <w:t>2=3+4+5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D957E" w14:textId="77777777" w:rsidR="00706036" w:rsidRPr="00706036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706036"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CCAA2" w14:textId="77777777" w:rsidR="00706036" w:rsidRPr="00706036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706036"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663BF" w14:textId="77777777" w:rsidR="00706036" w:rsidRPr="00706036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706036"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  <w:t>5</w:t>
            </w:r>
          </w:p>
        </w:tc>
      </w:tr>
      <w:tr w:rsidR="00DF58CD" w:rsidRPr="00744909" w14:paraId="168B33A5" w14:textId="77777777" w:rsidTr="00141197">
        <w:trPr>
          <w:trHeight w:val="2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40201" w14:textId="77777777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color w:val="auto"/>
                <w:sz w:val="16"/>
                <w:szCs w:val="16"/>
                <w:lang w:val="sr-Cyrl-RS"/>
              </w:rPr>
            </w:pPr>
            <w:r w:rsidRPr="00706036">
              <w:rPr>
                <w:rFonts w:ascii="Tahoma" w:eastAsia="Times New Roman" w:hAnsi="Tahoma" w:cs="Tahoma"/>
                <w:b/>
                <w:bCs/>
                <w:noProof/>
                <w:color w:val="auto"/>
                <w:sz w:val="16"/>
                <w:szCs w:val="16"/>
                <w:lang w:val="sr-Cyrl-RS"/>
              </w:rPr>
              <w:t>2017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DAD50" w14:textId="3F030A1F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1,078,020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EC4CF" w14:textId="35C8C29A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552,327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0FEA9" w14:textId="7C62DA23" w:rsidR="00DF58CD" w:rsidRPr="00141197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393,404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65B7B" w14:textId="6EDECCC6" w:rsidR="00DF58CD" w:rsidRPr="00141197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99,484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05F76" w14:textId="09C4B336" w:rsidR="00DF58CD" w:rsidRPr="00141197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59,439</w:t>
            </w:r>
          </w:p>
        </w:tc>
      </w:tr>
      <w:tr w:rsidR="00DF58CD" w:rsidRPr="00744909" w14:paraId="4859B501" w14:textId="77777777" w:rsidTr="00812245">
        <w:trPr>
          <w:trHeight w:val="2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0B7E" w14:textId="77777777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color w:val="auto"/>
                <w:sz w:val="16"/>
                <w:szCs w:val="16"/>
                <w:lang w:val="sr-Cyrl-RS"/>
              </w:rPr>
            </w:pPr>
            <w:r w:rsidRPr="00706036">
              <w:rPr>
                <w:rFonts w:ascii="Tahoma" w:eastAsia="Times New Roman" w:hAnsi="Tahoma" w:cs="Tahoma"/>
                <w:b/>
                <w:bCs/>
                <w:noProof/>
                <w:color w:val="auto"/>
                <w:sz w:val="16"/>
                <w:szCs w:val="16"/>
                <w:lang w:val="sr-Cyrl-RS"/>
              </w:rPr>
              <w:t>2018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AD6B7" w14:textId="7674CA1D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1,256,911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BDA5C" w14:textId="748E7414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577,800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4D7E3" w14:textId="06E476C8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413,496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AD87C" w14:textId="6DF7E7C1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104,520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FEFA6" w14:textId="6557D51A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59,784</w:t>
            </w:r>
          </w:p>
        </w:tc>
      </w:tr>
      <w:tr w:rsidR="00DF58CD" w:rsidRPr="00744909" w14:paraId="664B97F6" w14:textId="77777777" w:rsidTr="00812245">
        <w:trPr>
          <w:trHeight w:val="2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1D163" w14:textId="77777777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color w:val="auto"/>
                <w:sz w:val="16"/>
                <w:szCs w:val="16"/>
                <w:lang w:val="sr-Cyrl-RS"/>
              </w:rPr>
            </w:pPr>
            <w:r w:rsidRPr="00706036">
              <w:rPr>
                <w:rFonts w:ascii="Tahoma" w:eastAsia="Times New Roman" w:hAnsi="Tahoma" w:cs="Tahoma"/>
                <w:b/>
                <w:bCs/>
                <w:noProof/>
                <w:color w:val="auto"/>
                <w:sz w:val="16"/>
                <w:szCs w:val="16"/>
                <w:lang w:val="sr-Cyrl-RS"/>
              </w:rPr>
              <w:t>2019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A9DA0" w14:textId="474D422D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1,149,642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DFB17" w14:textId="1C16D945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703,431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64D7D" w14:textId="31A0237B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509,491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78DB9" w14:textId="6381FA3C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134,096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4DFD4" w14:textId="50077C92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59,844</w:t>
            </w:r>
          </w:p>
        </w:tc>
      </w:tr>
      <w:tr w:rsidR="00DF58CD" w:rsidRPr="00744909" w14:paraId="6822B6E3" w14:textId="77777777" w:rsidTr="00812245">
        <w:trPr>
          <w:trHeight w:val="2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B14C" w14:textId="77777777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color w:val="auto"/>
                <w:sz w:val="16"/>
                <w:szCs w:val="16"/>
                <w:lang w:val="sr-Cyrl-RS"/>
              </w:rPr>
            </w:pPr>
            <w:r w:rsidRPr="00706036">
              <w:rPr>
                <w:rFonts w:ascii="Tahoma" w:eastAsia="Times New Roman" w:hAnsi="Tahoma" w:cs="Tahoma"/>
                <w:b/>
                <w:bCs/>
                <w:noProof/>
                <w:color w:val="auto"/>
                <w:sz w:val="16"/>
                <w:szCs w:val="16"/>
                <w:lang w:val="sr-Cyrl-RS"/>
              </w:rPr>
              <w:t>2020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BB742" w14:textId="00BD216E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1,141,300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2222F" w14:textId="1CFB2878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693,323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662A7" w14:textId="0ACC697D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489,442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38AFE" w14:textId="5A9B0104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140,134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80272" w14:textId="41B410F3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63,747</w:t>
            </w:r>
          </w:p>
        </w:tc>
      </w:tr>
      <w:tr w:rsidR="00DF58CD" w:rsidRPr="00744909" w14:paraId="7DA80EBD" w14:textId="77777777" w:rsidTr="00812245">
        <w:trPr>
          <w:trHeight w:val="2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1CC0" w14:textId="77777777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color w:val="auto"/>
                <w:sz w:val="16"/>
                <w:szCs w:val="16"/>
                <w:lang w:val="sr-Cyrl-RS"/>
              </w:rPr>
            </w:pPr>
            <w:r w:rsidRPr="00706036">
              <w:rPr>
                <w:rFonts w:ascii="Tahoma" w:eastAsia="Times New Roman" w:hAnsi="Tahoma" w:cs="Tahoma"/>
                <w:b/>
                <w:bCs/>
                <w:noProof/>
                <w:color w:val="auto"/>
                <w:sz w:val="16"/>
                <w:szCs w:val="16"/>
                <w:lang w:val="sr-Cyrl-RS"/>
              </w:rPr>
              <w:t>2021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EB603" w14:textId="4478BAF7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1,423,221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956C6" w14:textId="0B8C1856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860,559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2C0EC" w14:textId="290F5C41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635,255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FF327" w14:textId="03DDD4A5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156,970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FFBB4" w14:textId="01731D76" w:rsidR="00DF58CD" w:rsidRPr="00706036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68,334</w:t>
            </w:r>
          </w:p>
        </w:tc>
      </w:tr>
    </w:tbl>
    <w:p w14:paraId="1AFB54F3" w14:textId="5E897AF9" w:rsidR="004D1026" w:rsidRDefault="004D1026" w:rsidP="00C542C5">
      <w:pPr>
        <w:spacing w:after="160" w:line="259" w:lineRule="auto"/>
        <w:jc w:val="both"/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</w:pPr>
    </w:p>
    <w:p w14:paraId="637C6EA0" w14:textId="77777777" w:rsidR="00145C62" w:rsidRDefault="00145C62" w:rsidP="00C542C5">
      <w:pPr>
        <w:spacing w:after="160" w:line="259" w:lineRule="auto"/>
        <w:jc w:val="both"/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170"/>
        <w:gridCol w:w="2430"/>
        <w:gridCol w:w="1800"/>
        <w:gridCol w:w="1800"/>
        <w:gridCol w:w="2160"/>
      </w:tblGrid>
      <w:tr w:rsidR="00706036" w:rsidRPr="00744909" w14:paraId="7D02A29C" w14:textId="77777777" w:rsidTr="003E0D8C">
        <w:trPr>
          <w:trHeight w:val="972"/>
        </w:trPr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58B65CCF" w14:textId="11FA1407" w:rsidR="00706036" w:rsidRPr="00744909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744909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lastRenderedPageBreak/>
              <w:t>Године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F8CBCE9" w14:textId="6098091D" w:rsidR="00706036" w:rsidRPr="00744909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744909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Cyrl-RS"/>
              </w:rPr>
              <w:t>Донације и трансфери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537FA88" w14:textId="4DF22B35" w:rsidR="00706036" w:rsidRPr="00744909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744909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Cyrl-RS"/>
              </w:rPr>
              <w:t>Остали приходи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F92FC9C" w14:textId="18809975" w:rsidR="00706036" w:rsidRPr="00744909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744909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Cyrl-RS"/>
              </w:rPr>
              <w:t>Примања од задуживања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4F1D844" w14:textId="45EE6997" w:rsidR="00706036" w:rsidRPr="00744909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744909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Cyrl-RS"/>
              </w:rPr>
              <w:t>Примања од продаје нефинансијске имовине</w:t>
            </w:r>
          </w:p>
        </w:tc>
      </w:tr>
      <w:tr w:rsidR="00706036" w:rsidRPr="00744909" w14:paraId="0AEBE738" w14:textId="77777777" w:rsidTr="003E0D8C">
        <w:trPr>
          <w:trHeight w:val="408"/>
        </w:trPr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398E7" w14:textId="41DEFEF6" w:rsidR="00706036" w:rsidRPr="00744909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744909"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528E4" w14:textId="7D4F67AB" w:rsidR="00706036" w:rsidRPr="00744909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744909">
              <w:rPr>
                <w:rFonts w:ascii="Tahoma" w:hAnsi="Tahoma" w:cs="Tahoma"/>
                <w:noProof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E9429" w14:textId="10B71025" w:rsidR="00706036" w:rsidRPr="00744909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744909">
              <w:rPr>
                <w:rFonts w:ascii="Tahoma" w:hAnsi="Tahoma" w:cs="Tahoma"/>
                <w:noProof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6C0DC" w14:textId="5D50B660" w:rsidR="00706036" w:rsidRPr="00744909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744909">
              <w:rPr>
                <w:rFonts w:ascii="Tahoma" w:hAnsi="Tahoma" w:cs="Tahoma"/>
                <w:noProof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19B33" w14:textId="283E1BC7" w:rsidR="00706036" w:rsidRPr="00744909" w:rsidRDefault="00706036" w:rsidP="00706036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744909">
              <w:rPr>
                <w:rFonts w:ascii="Tahoma" w:hAnsi="Tahoma" w:cs="Tahoma"/>
                <w:noProof/>
                <w:sz w:val="16"/>
                <w:szCs w:val="16"/>
                <w:lang w:val="sr-Cyrl-RS"/>
              </w:rPr>
              <w:t>9</w:t>
            </w:r>
          </w:p>
        </w:tc>
      </w:tr>
      <w:tr w:rsidR="00DF58CD" w:rsidRPr="00744909" w14:paraId="2A2E47C0" w14:textId="77777777" w:rsidTr="00812245">
        <w:trPr>
          <w:trHeight w:val="240"/>
        </w:trPr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F2470" w14:textId="22E7FE38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744909">
              <w:rPr>
                <w:rFonts w:ascii="Tahoma" w:eastAsia="Times New Roman" w:hAnsi="Tahoma" w:cs="Tahoma"/>
                <w:b/>
                <w:bCs/>
                <w:noProof/>
                <w:color w:val="auto"/>
                <w:sz w:val="16"/>
                <w:szCs w:val="16"/>
                <w:lang w:val="sr-Cyrl-RS"/>
              </w:rPr>
              <w:t>2017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21435" w14:textId="0977495C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390,646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DE5F5" w14:textId="5BEE41C1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130,166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BC463" w14:textId="43A94E46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A08BF" w14:textId="388A528D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4,881</w:t>
            </w:r>
          </w:p>
        </w:tc>
      </w:tr>
      <w:tr w:rsidR="00DF58CD" w:rsidRPr="00744909" w14:paraId="214DB383" w14:textId="77777777" w:rsidTr="00812245">
        <w:trPr>
          <w:trHeight w:val="240"/>
        </w:trPr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C6BDA" w14:textId="39107A38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744909">
              <w:rPr>
                <w:rFonts w:ascii="Tahoma" w:eastAsia="Times New Roman" w:hAnsi="Tahoma" w:cs="Tahoma"/>
                <w:b/>
                <w:bCs/>
                <w:noProof/>
                <w:color w:val="auto"/>
                <w:sz w:val="16"/>
                <w:szCs w:val="16"/>
                <w:lang w:val="sr-Cyrl-RS"/>
              </w:rPr>
              <w:t>2018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36BB6" w14:textId="3288CB97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558,963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81296" w14:textId="58EF100C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120,148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DECCA" w14:textId="5D9CDF10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1FB98" w14:textId="64E91190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DF58CD" w:rsidRPr="00744909" w14:paraId="50310389" w14:textId="77777777" w:rsidTr="00812245">
        <w:trPr>
          <w:trHeight w:val="240"/>
        </w:trPr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FA9EF" w14:textId="482D81F2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744909">
              <w:rPr>
                <w:rFonts w:ascii="Tahoma" w:eastAsia="Times New Roman" w:hAnsi="Tahoma" w:cs="Tahoma"/>
                <w:b/>
                <w:bCs/>
                <w:noProof/>
                <w:color w:val="auto"/>
                <w:sz w:val="16"/>
                <w:szCs w:val="16"/>
                <w:lang w:val="sr-Cyrl-RS"/>
              </w:rPr>
              <w:t>2019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C7265" w14:textId="106DE215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352,360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D634F" w14:textId="6EA1DF0C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87,834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7A6A4" w14:textId="5E833BB8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0AC5C" w14:textId="153A3CF7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6,017</w:t>
            </w:r>
          </w:p>
        </w:tc>
      </w:tr>
      <w:tr w:rsidR="00DF58CD" w:rsidRPr="00744909" w14:paraId="4C8866B9" w14:textId="77777777" w:rsidTr="00812245">
        <w:trPr>
          <w:trHeight w:val="240"/>
        </w:trPr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4239A" w14:textId="14DF0552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744909">
              <w:rPr>
                <w:rFonts w:ascii="Tahoma" w:eastAsia="Times New Roman" w:hAnsi="Tahoma" w:cs="Tahoma"/>
                <w:b/>
                <w:bCs/>
                <w:noProof/>
                <w:color w:val="auto"/>
                <w:sz w:val="16"/>
                <w:szCs w:val="16"/>
                <w:lang w:val="sr-Cyrl-RS"/>
              </w:rPr>
              <w:t>2020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18EDE" w14:textId="4BBD89A1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387,215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283EF" w14:textId="1434AD30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57,833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C44E2" w14:textId="39B84749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B82DF" w14:textId="4E046810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2,929</w:t>
            </w:r>
          </w:p>
        </w:tc>
      </w:tr>
      <w:tr w:rsidR="00DF58CD" w:rsidRPr="00744909" w14:paraId="766D54F3" w14:textId="77777777" w:rsidTr="00812245">
        <w:trPr>
          <w:trHeight w:val="240"/>
        </w:trPr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39217" w14:textId="4ADBDD8D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744909">
              <w:rPr>
                <w:rFonts w:ascii="Tahoma" w:eastAsia="Times New Roman" w:hAnsi="Tahoma" w:cs="Tahoma"/>
                <w:b/>
                <w:bCs/>
                <w:noProof/>
                <w:color w:val="auto"/>
                <w:sz w:val="16"/>
                <w:szCs w:val="16"/>
                <w:lang w:val="sr-Cyrl-RS"/>
              </w:rPr>
              <w:t>2021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9AC83" w14:textId="503E4132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473,735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BE73E" w14:textId="6FFC8F64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78,229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32492" w14:textId="2C1DADFD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EAFDB" w14:textId="204B14B2" w:rsidR="00DF58CD" w:rsidRPr="00744909" w:rsidRDefault="00DF58CD" w:rsidP="00DF58CD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10,698</w:t>
            </w:r>
          </w:p>
        </w:tc>
      </w:tr>
    </w:tbl>
    <w:p w14:paraId="08ACD7C4" w14:textId="77777777" w:rsidR="00093392" w:rsidRDefault="00093392" w:rsidP="00C542C5">
      <w:pPr>
        <w:spacing w:after="160" w:line="259" w:lineRule="auto"/>
        <w:jc w:val="both"/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</w:pPr>
    </w:p>
    <w:p w14:paraId="520C8D9B" w14:textId="136147B1" w:rsidR="00B90499" w:rsidRDefault="00940505" w:rsidP="00C542C5">
      <w:pPr>
        <w:spacing w:after="160" w:line="259" w:lineRule="auto"/>
        <w:jc w:val="both"/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940505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Приходи и примања буџета </w:t>
      </w:r>
      <w:r w:rsidR="00A24B35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општине </w:t>
      </w:r>
      <w:r w:rsidR="00B50318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С</w:t>
      </w:r>
      <w:r w:rsidR="00B4078F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медеревска Паланка</w:t>
      </w:r>
      <w:r w:rsidRPr="00940505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 показују узлазни тренд</w:t>
      </w:r>
      <w:r w:rsidR="00E612D4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 </w:t>
      </w:r>
      <w:r w:rsidRPr="00940505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у посматраном временском интервалу.</w:t>
      </w:r>
      <w:r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980E32" w:rsidRPr="00593EE9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Гледајући кроз призму доступних података</w:t>
      </w:r>
      <w:r w:rsidR="00980E32" w:rsidRPr="00593EE9">
        <w:rPr>
          <w:rStyle w:val="FootnoteReference"/>
          <w:rFonts w:ascii="Tahoma" w:hAnsi="Tahoma" w:cs="Tahoma"/>
          <w:noProof/>
          <w:color w:val="auto"/>
          <w:sz w:val="22"/>
          <w:szCs w:val="22"/>
          <w:lang w:val="sr-Cyrl-RS"/>
        </w:rPr>
        <w:footnoteReference w:id="8"/>
      </w:r>
      <w:r w:rsidR="00980E32" w:rsidRPr="00593EE9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, у</w:t>
      </w:r>
      <w:r w:rsidR="00D35AEE" w:rsidRPr="00593EE9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купни приходи и примања буџета </w:t>
      </w:r>
      <w:r w:rsidR="00A24B35" w:rsidRPr="00593EE9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општине </w:t>
      </w:r>
      <w:r w:rsidR="00D16B82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С</w:t>
      </w:r>
      <w:r w:rsidR="00464BBA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медеревска Паланка</w:t>
      </w:r>
      <w:r w:rsidR="00D35AEE" w:rsidRPr="00593EE9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у протеклих </w:t>
      </w:r>
      <w:r w:rsidR="00457199">
        <w:rPr>
          <w:rStyle w:val="Heading1Char"/>
          <w:rFonts w:ascii="Tahoma" w:hAnsi="Tahoma" w:cs="Tahoma"/>
          <w:noProof/>
          <w:color w:val="auto"/>
          <w:sz w:val="22"/>
          <w:szCs w:val="22"/>
          <w:lang w:val="en-US"/>
        </w:rPr>
        <w:t>10</w:t>
      </w:r>
      <w:r w:rsidR="00D35AEE" w:rsidRPr="00593EE9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година </w:t>
      </w:r>
      <w:r w:rsidR="00D35AEE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(почев од 201</w:t>
      </w:r>
      <w:r w:rsidR="00457199">
        <w:rPr>
          <w:rStyle w:val="Heading1Char"/>
          <w:rFonts w:ascii="Tahoma" w:hAnsi="Tahoma" w:cs="Tahoma"/>
          <w:noProof/>
          <w:color w:val="auto"/>
          <w:sz w:val="22"/>
          <w:szCs w:val="22"/>
          <w:lang w:val="en-US"/>
        </w:rPr>
        <w:t>1</w:t>
      </w:r>
      <w:r w:rsidR="00D35AEE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до 202</w:t>
      </w:r>
      <w:r w:rsidR="00B91180">
        <w:rPr>
          <w:rStyle w:val="Heading1Char"/>
          <w:rFonts w:ascii="Tahoma" w:hAnsi="Tahoma" w:cs="Tahoma"/>
          <w:noProof/>
          <w:color w:val="auto"/>
          <w:sz w:val="22"/>
          <w:szCs w:val="22"/>
          <w:lang w:val="en-US"/>
        </w:rPr>
        <w:t>1</w:t>
      </w:r>
      <w:r w:rsidR="00D35AEE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) су порасли са </w:t>
      </w:r>
      <w:r w:rsidR="004E028E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807,3</w:t>
      </w:r>
      <w:r w:rsidR="00B93F5B" w:rsidRPr="00934F55">
        <w:rPr>
          <w:rStyle w:val="Heading1Char"/>
          <w:rFonts w:ascii="Tahoma" w:hAnsi="Tahoma" w:cs="Tahoma"/>
          <w:noProof/>
          <w:color w:val="auto"/>
          <w:sz w:val="22"/>
          <w:szCs w:val="22"/>
          <w:lang w:val="en-US"/>
        </w:rPr>
        <w:t xml:space="preserve"> </w:t>
      </w:r>
      <w:r w:rsidR="00B93F5B" w:rsidRPr="00934F55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милиона динара</w:t>
      </w:r>
      <w:r w:rsidR="00D35AEE" w:rsidRPr="00934F55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на </w:t>
      </w:r>
      <w:r w:rsidR="006D65BC" w:rsidRPr="00934F55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готово</w:t>
      </w:r>
      <w:r w:rsidR="00D35AEE" w:rsidRPr="00934F55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4E028E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1</w:t>
      </w:r>
      <w:r w:rsidR="0039028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.423</w:t>
      </w:r>
      <w:r w:rsidR="00B93F5B" w:rsidRPr="00934F55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милиона</w:t>
      </w:r>
      <w:r w:rsidR="00D35AEE" w:rsidRPr="00934F55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динара. </w:t>
      </w:r>
      <w:r w:rsidR="00C718C8" w:rsidRPr="00934F55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Предметно повећање </w:t>
      </w:r>
      <w:r w:rsidR="004651E3" w:rsidRPr="00934F55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од </w:t>
      </w:r>
      <w:r w:rsidR="00372C92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76,3</w:t>
      </w:r>
      <w:r w:rsidR="001A662A" w:rsidRPr="00934F55">
        <w:rPr>
          <w:rStyle w:val="Heading1Char"/>
          <w:rFonts w:ascii="Tahoma" w:hAnsi="Tahoma" w:cs="Tahoma"/>
          <w:noProof/>
          <w:color w:val="auto"/>
          <w:sz w:val="22"/>
          <w:szCs w:val="22"/>
          <w:lang w:val="en-US"/>
        </w:rPr>
        <w:t>%</w:t>
      </w:r>
      <w:r w:rsidR="004651E3" w:rsidRPr="00934F55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7A5793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знатно премашује просечна</w:t>
      </w:r>
      <w:r w:rsidR="00C718C8" w:rsidRPr="00934F55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повећањ</w:t>
      </w:r>
      <w:r w:rsidR="00D6190D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а</w:t>
      </w:r>
      <w:r w:rsidR="00C718C8" w:rsidRPr="00934F55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прихода и примања осталих </w:t>
      </w:r>
      <w:r w:rsidR="00B93F5B" w:rsidRPr="00934F55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општина (</w:t>
      </w:r>
      <w:r w:rsidR="006B561F">
        <w:rPr>
          <w:rStyle w:val="Heading1Char"/>
          <w:rFonts w:ascii="Tahoma" w:hAnsi="Tahoma" w:cs="Tahoma"/>
          <w:noProof/>
          <w:color w:val="auto"/>
          <w:sz w:val="22"/>
          <w:szCs w:val="22"/>
          <w:lang w:val="en-US"/>
        </w:rPr>
        <w:t>38</w:t>
      </w:r>
      <w:r w:rsidR="008F7513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, без градова у региону</w:t>
      </w:r>
      <w:r w:rsidR="00B93F5B" w:rsidRPr="00934F55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)</w:t>
      </w:r>
      <w:r w:rsidR="00C718C8" w:rsidRPr="00934F55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у региону </w:t>
      </w:r>
      <w:r w:rsidR="000B3A0E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Јужне и Источне Србије</w:t>
      </w:r>
      <w:r w:rsidR="00CA46A2" w:rsidRPr="00934F55">
        <w:rPr>
          <w:rStyle w:val="FootnoteReference"/>
          <w:rFonts w:ascii="Tahoma" w:hAnsi="Tahoma" w:cs="Tahoma"/>
          <w:noProof/>
          <w:color w:val="auto"/>
          <w:sz w:val="22"/>
          <w:szCs w:val="22"/>
          <w:lang w:val="sr-Cyrl-RS"/>
        </w:rPr>
        <w:footnoteReference w:id="9"/>
      </w:r>
      <w:r w:rsidR="004651E3" w:rsidRPr="00934F55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што износи </w:t>
      </w:r>
      <w:r w:rsidR="00D6190D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60,</w:t>
      </w:r>
      <w:r w:rsidR="0042410C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6</w:t>
      </w:r>
      <w:r w:rsidR="004651E3" w:rsidRPr="00934F55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%</w:t>
      </w:r>
      <w:r w:rsidR="00D6190D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у истом временском периоду</w:t>
      </w:r>
      <w:r w:rsidR="004651E3" w:rsidRPr="00934F55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.</w:t>
      </w:r>
      <w:r w:rsidR="00980E32" w:rsidRPr="00934F55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D63311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Гледајући кроз анализу представљених података у задњих пет година, </w:t>
      </w:r>
      <w:r w:rsidR="009D5832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све врсте прихода су </w:t>
      </w:r>
      <w:r w:rsidR="00422542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сразмерно повећани у односу на податке из 2017. године. Ипак посебну пажњу заслужуј</w:t>
      </w:r>
      <w:r w:rsidR="00124992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е податак о повећању пореза на доходак грађана</w:t>
      </w:r>
      <w:r w:rsidR="00CB3961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, као и повећање пореза на имовину</w:t>
      </w:r>
      <w:r w:rsidR="0083075D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.</w:t>
      </w:r>
      <w:r w:rsidR="00E04757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113F0E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Апсолутна вредност</w:t>
      </w:r>
      <w:r w:rsidR="00732C5B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годишњег ненаменског трансфера износи </w:t>
      </w:r>
      <w:r w:rsidR="0083075D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292.955</w:t>
      </w:r>
      <w:r w:rsidR="00732C5B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хиљада дин</w:t>
      </w:r>
      <w:r w:rsidR="007E693E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ара што је у односу на укупне приходе и примања у 2021. години </w:t>
      </w:r>
      <w:r w:rsidR="00DD19D4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према релативном показатељу учешћа </w:t>
      </w:r>
      <w:r w:rsidR="008A6A0D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20,6</w:t>
      </w:r>
      <w:r w:rsidR="007E693E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%</w:t>
      </w:r>
      <w:r w:rsidR="00D212F4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. </w:t>
      </w:r>
      <w:r w:rsidR="007E693E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Релативно учешће пореза на доходак</w:t>
      </w:r>
      <w:r w:rsidR="00980E32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од </w:t>
      </w:r>
      <w:r w:rsidR="00E25513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40,3</w:t>
      </w:r>
      <w:r w:rsidR="00980E32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% представља </w:t>
      </w:r>
      <w:r w:rsidR="007E693E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значајан</w:t>
      </w:r>
      <w:r w:rsidR="00980E32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приход </w:t>
      </w:r>
      <w:r w:rsidR="007E693E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општине</w:t>
      </w:r>
      <w:r w:rsidR="00965A9A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, </w:t>
      </w:r>
      <w:r w:rsidR="00140534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и </w:t>
      </w:r>
      <w:r w:rsidR="00965A9A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у односу на просек </w:t>
      </w:r>
      <w:r w:rsidR="004651E3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ових прихода </w:t>
      </w:r>
      <w:r w:rsidR="00965A9A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у буџетима </w:t>
      </w:r>
      <w:r w:rsidR="000360EA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општина </w:t>
      </w:r>
      <w:r w:rsidR="00965A9A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овог региона </w:t>
      </w:r>
      <w:r w:rsidR="000360EA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је </w:t>
      </w:r>
      <w:r w:rsidR="00E25513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знатно </w:t>
      </w:r>
      <w:r w:rsidR="00140534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већи</w:t>
      </w:r>
      <w:r w:rsidR="001A067B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, јер исти износи </w:t>
      </w:r>
      <w:r w:rsidR="001964E9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23,8</w:t>
      </w:r>
      <w:r w:rsidR="00965A9A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%.  </w:t>
      </w:r>
      <w:r w:rsidR="00185DF1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Сходно напред изметим чињеницама</w:t>
      </w:r>
      <w:r w:rsidR="00C416D6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,</w:t>
      </w:r>
      <w:r w:rsidR="00185DF1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C416D6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релевантна структура</w:t>
      </w:r>
      <w:r w:rsidR="00965A9A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C416D6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остварених </w:t>
      </w:r>
      <w:r w:rsidR="00965A9A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приход</w:t>
      </w:r>
      <w:r w:rsidR="00C416D6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а </w:t>
      </w:r>
      <w:r w:rsidR="00965A9A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7E693E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обезбеђује</w:t>
      </w:r>
      <w:r w:rsidR="00965A9A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7E693E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општини </w:t>
      </w:r>
      <w:r w:rsidR="00140534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већи</w:t>
      </w:r>
      <w:r w:rsidR="00DC244A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980E32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степен финансијске аутономије</w:t>
      </w:r>
      <w:r w:rsidR="00140534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у односу на општине у региону</w:t>
      </w:r>
      <w:r w:rsidR="00980E32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960AE4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(</w:t>
      </w:r>
      <w:r w:rsidR="00C51A01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66,</w:t>
      </w:r>
      <w:r w:rsidR="00846AE4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7</w:t>
      </w:r>
      <w:r w:rsidR="00960AE4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%</w:t>
      </w:r>
      <w:r w:rsidR="00DA619C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)</w:t>
      </w:r>
      <w:r w:rsidR="00800CA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. П</w:t>
      </w:r>
      <w:r w:rsidR="00DA619C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орези на имовину </w:t>
      </w:r>
      <w:r w:rsidR="00F64386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учествују у укупним приходима и примањима</w:t>
      </w:r>
      <w:r w:rsidR="00DA619C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са просечним учешћем од </w:t>
      </w:r>
      <w:r w:rsidR="00846AE4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10,5</w:t>
      </w:r>
      <w:r w:rsidR="00DA619C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% (</w:t>
      </w:r>
      <w:r w:rsidR="00527449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захваљујући </w:t>
      </w:r>
      <w:r w:rsidR="00913CFE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избалансирано</w:t>
      </w:r>
      <w:r w:rsidR="00527449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м повећању овог прихода </w:t>
      </w:r>
      <w:r w:rsidR="007E693E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у протеклих 5 година</w:t>
      </w:r>
      <w:r w:rsidR="000360EA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, кроз побољшање наплате локалних јавних прихода</w:t>
      </w:r>
      <w:r w:rsidR="007E693E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). </w:t>
      </w:r>
    </w:p>
    <w:p w14:paraId="07258C00" w14:textId="77777777" w:rsidR="00C46E63" w:rsidRDefault="00C46E63" w:rsidP="00C542C5">
      <w:pPr>
        <w:spacing w:after="160" w:line="259" w:lineRule="auto"/>
        <w:jc w:val="both"/>
        <w:rPr>
          <w:rStyle w:val="Heading1Char"/>
          <w:rFonts w:ascii="Tahoma" w:hAnsi="Tahoma" w:cs="Tahoma"/>
          <w:noProof/>
          <w:color w:val="auto"/>
          <w:sz w:val="22"/>
          <w:szCs w:val="22"/>
          <w:lang w:val="en-US"/>
        </w:rPr>
      </w:pPr>
    </w:p>
    <w:p w14:paraId="606C4FF7" w14:textId="30B0BBE8" w:rsidR="002A6B93" w:rsidRDefault="00B268A8" w:rsidP="00C542C5">
      <w:pPr>
        <w:spacing w:after="160" w:line="259" w:lineRule="auto"/>
        <w:jc w:val="both"/>
        <w:rPr>
          <w:rStyle w:val="Heading1Char"/>
          <w:rFonts w:ascii="Tahoma" w:hAnsi="Tahoma" w:cs="Tahoma"/>
          <w:noProof/>
          <w:color w:val="auto"/>
          <w:sz w:val="22"/>
          <w:szCs w:val="22"/>
          <w:lang w:val="en-US"/>
        </w:rPr>
      </w:pPr>
      <w:r w:rsidRPr="00B268A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lastRenderedPageBreak/>
        <mc:AlternateContent>
          <mc:Choice Requires="wps">
            <w:drawing>
              <wp:anchor distT="91440" distB="91440" distL="114300" distR="114300" simplePos="0" relativeHeight="251664384" behindDoc="0" locked="0" layoutInCell="1" allowOverlap="1" wp14:anchorId="4AA79C48" wp14:editId="4CA8D7A9">
                <wp:simplePos x="0" y="0"/>
                <wp:positionH relativeFrom="margin">
                  <wp:align>right</wp:align>
                </wp:positionH>
                <wp:positionV relativeFrom="paragraph">
                  <wp:posOffset>97</wp:posOffset>
                </wp:positionV>
                <wp:extent cx="5943600" cy="1924050"/>
                <wp:effectExtent l="0" t="0" r="19050" b="1905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24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7E2B3" w14:textId="5639A818" w:rsidR="00B268A8" w:rsidRPr="00495694" w:rsidRDefault="00B268A8" w:rsidP="00B268A8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Индикатори за потребе израде анализе стања и праћења достизања циљева одрживог развоја – приходи и примања буџета </w:t>
                            </w:r>
                            <w:r w:rsidR="00CF1DF9"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општине</w:t>
                            </w: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ED0A1A1" w14:textId="77777777" w:rsidR="00B268A8" w:rsidRPr="00495694" w:rsidRDefault="00B268A8" w:rsidP="00B268A8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 Релативно учешће пореза на доходак у укупним приходима ЈЛС</w:t>
                            </w:r>
                          </w:p>
                          <w:p w14:paraId="39810385" w14:textId="5D899D22" w:rsidR="00B268A8" w:rsidRPr="00495694" w:rsidRDefault="00B268A8" w:rsidP="00B268A8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 Релативно учешће ненаменског транфера у укупним приходима ЈЛС</w:t>
                            </w:r>
                          </w:p>
                          <w:p w14:paraId="2570D92A" w14:textId="2E7E0607" w:rsidR="00B268A8" w:rsidRPr="00495694" w:rsidRDefault="00B268A8" w:rsidP="00B268A8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 Релативно учешће капиталних трансфера са виших нивоа власти у укупним приходима   ЈЛС</w:t>
                            </w:r>
                          </w:p>
                          <w:p w14:paraId="313DCA8D" w14:textId="254E0D7A" w:rsidR="00B268A8" w:rsidRPr="00495694" w:rsidRDefault="00B268A8" w:rsidP="00B268A8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 Степен финансијске аутономије ЈЛС</w:t>
                            </w:r>
                          </w:p>
                          <w:p w14:paraId="1CCAF5A0" w14:textId="77777777" w:rsidR="00B268A8" w:rsidRPr="00495694" w:rsidRDefault="00B268A8" w:rsidP="00B268A8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5B9BD5" w:themeColor="accent1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CAD32A" w14:textId="7547DD8C" w:rsidR="00B268A8" w:rsidRPr="00495694" w:rsidRDefault="00B268A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79C48" id="Text Box 2" o:spid="_x0000_s1029" type="#_x0000_t202" style="position:absolute;left:0;text-align:left;margin-left:416.8pt;margin-top:0;width:468pt;height:151.5pt;z-index:251664384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" fillcolor="white [3201]" strokecolor="#2f5496 [2408]" strokeweight="1pt">
                <v:textbox>
                  <w:txbxContent>
                    <w:p w14:paraId="0647E2B3" w14:textId="5639A818" w:rsidR="00B268A8" w:rsidRPr="00495694" w:rsidRDefault="00B268A8" w:rsidP="00B268A8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Индикатори за потребе израде анализе стања и праћења достизања циљева одрживог развоја – приходи и примања буџета </w:t>
                      </w:r>
                      <w:r w:rsidR="00CF1DF9"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општине</w:t>
                      </w: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ED0A1A1" w14:textId="77777777" w:rsidR="00B268A8" w:rsidRPr="00495694" w:rsidRDefault="00B268A8" w:rsidP="00B268A8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 Релативно учешће пореза на доходак у укупним приходима ЈЛС</w:t>
                      </w:r>
                    </w:p>
                    <w:p w14:paraId="39810385" w14:textId="5D899D22" w:rsidR="00B268A8" w:rsidRPr="00495694" w:rsidRDefault="00B268A8" w:rsidP="00B268A8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 Релативно учешће ненаменског транфера у укупним приходима ЈЛС</w:t>
                      </w:r>
                    </w:p>
                    <w:p w14:paraId="2570D92A" w14:textId="2E7E0607" w:rsidR="00B268A8" w:rsidRPr="00495694" w:rsidRDefault="00B268A8" w:rsidP="00B268A8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 Релативно учешће капиталних трансфера са виших нивоа власти у укупним приходима   ЈЛС</w:t>
                      </w:r>
                    </w:p>
                    <w:p w14:paraId="313DCA8D" w14:textId="254E0D7A" w:rsidR="00B268A8" w:rsidRPr="00495694" w:rsidRDefault="00B268A8" w:rsidP="00B268A8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 Степен финансијске аутономије ЈЛС</w:t>
                      </w:r>
                    </w:p>
                    <w:p w14:paraId="1CCAF5A0" w14:textId="77777777" w:rsidR="00B268A8" w:rsidRPr="00495694" w:rsidRDefault="00B268A8" w:rsidP="00B268A8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5B9BD5" w:themeColor="accent1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CAD32A" w14:textId="7547DD8C" w:rsidR="00B268A8" w:rsidRPr="00495694" w:rsidRDefault="00B268A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5B90208" w14:textId="7FE29092" w:rsidR="00F86AE5" w:rsidRPr="005241B1" w:rsidRDefault="00F86AE5" w:rsidP="004C0964">
      <w:pPr>
        <w:spacing w:after="120"/>
        <w:jc w:val="both"/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</w:pPr>
      <w:r w:rsidRPr="005241B1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 xml:space="preserve">3. Анализа структуре расхода буџета </w:t>
      </w:r>
      <w:r w:rsidR="00392B11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 xml:space="preserve">општине </w:t>
      </w:r>
      <w:r w:rsidR="003F4523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>Смед</w:t>
      </w:r>
      <w:r w:rsidR="00893406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>еревска Паланка</w:t>
      </w:r>
      <w:r w:rsidRPr="005241B1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 xml:space="preserve"> по буџетским класификацијама</w:t>
      </w:r>
    </w:p>
    <w:p w14:paraId="4ACFEC60" w14:textId="77777777" w:rsidR="000F2EE1" w:rsidRPr="00F82A7F" w:rsidRDefault="000F2EE1" w:rsidP="007E00CE">
      <w:pPr>
        <w:spacing w:after="160" w:line="259" w:lineRule="auto"/>
        <w:jc w:val="both"/>
        <w:rPr>
          <w:rFonts w:ascii="Tahoma" w:hAnsi="Tahoma" w:cs="Tahoma"/>
          <w:noProof/>
          <w:lang w:val="en-US"/>
        </w:rPr>
      </w:pPr>
    </w:p>
    <w:p w14:paraId="0E253B7B" w14:textId="43EC0578" w:rsidR="005241B1" w:rsidRPr="007E00CE" w:rsidRDefault="005241B1" w:rsidP="007E00CE">
      <w:pPr>
        <w:pStyle w:val="Heading3"/>
        <w:rPr>
          <w:rFonts w:ascii="Tahoma" w:hAnsi="Tahoma" w:cs="Tahoma"/>
          <w:b/>
          <w:bCs/>
          <w:noProof/>
          <w:lang w:val="sr-Cyrl-RS"/>
        </w:rPr>
      </w:pPr>
      <w:r w:rsidRPr="007E00CE">
        <w:rPr>
          <w:rFonts w:ascii="Tahoma" w:hAnsi="Tahoma" w:cs="Tahoma"/>
          <w:b/>
          <w:bCs/>
          <w:noProof/>
          <w:lang w:val="sr-Cyrl-RS"/>
        </w:rPr>
        <w:t>3.1. Програмска класификација</w:t>
      </w:r>
    </w:p>
    <w:p w14:paraId="509AA7C8" w14:textId="77777777" w:rsidR="005241B1" w:rsidRPr="005241B1" w:rsidRDefault="005241B1" w:rsidP="007E00CE">
      <w:pPr>
        <w:pStyle w:val="BodyText"/>
        <w:spacing w:after="160" w:line="259" w:lineRule="auto"/>
        <w:jc w:val="both"/>
        <w:rPr>
          <w:lang w:val="sr-Cyrl-RS"/>
        </w:rPr>
      </w:pPr>
    </w:p>
    <w:p w14:paraId="59C77502" w14:textId="4DBE4664" w:rsidR="002E20AC" w:rsidRDefault="002E20AC" w:rsidP="007E00CE">
      <w:pPr>
        <w:spacing w:after="160" w:line="259" w:lineRule="auto"/>
        <w:jc w:val="both"/>
        <w:rPr>
          <w:rFonts w:ascii="Tahoma" w:hAnsi="Tahoma" w:cs="Tahoma"/>
          <w:iCs/>
          <w:noProof/>
          <w:sz w:val="22"/>
          <w:szCs w:val="22"/>
          <w:lang w:val="sr-Cyrl-RS"/>
        </w:rPr>
      </w:pPr>
      <w:r w:rsidRPr="008F20D0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Почев од 2015. године </w:t>
      </w:r>
      <w:r w:rsidR="00392B11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општина </w:t>
      </w:r>
      <w:r w:rsidR="00B67540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С</w:t>
      </w:r>
      <w:r w:rsidR="00893406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медеревска Паланка</w:t>
      </w:r>
      <w:r w:rsidR="008F20D0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 </w:t>
      </w:r>
      <w:r w:rsidRPr="008F20D0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израђује свој буџет по програмском моделу.  </w:t>
      </w:r>
      <w:r w:rsidR="00316D00" w:rsidRPr="008F20D0">
        <w:rPr>
          <w:rFonts w:ascii="Tahoma" w:hAnsi="Tahoma" w:cs="Tahoma"/>
          <w:noProof/>
          <w:color w:val="auto"/>
          <w:sz w:val="22"/>
          <w:szCs w:val="22"/>
          <w:lang w:val="sr-Cyrl-RS"/>
        </w:rPr>
        <w:t>Прoгрaмски буџeт oмoгућaвa бoљe упрaвљaњe учинкoм jaвнe упрaвe, вeћу oдгoвoрнoст кoрисникa буџета, успoстaвљaњe снaжниjих вeзa измeђу гoдишњeг буџeтa, утврђивања приоритетних рaсхoдa и издатака и спровођења jaвних пoлитикa, кao и вeћу трaнспaрeнтнoст пoтрoшњe.</w:t>
      </w:r>
      <w:r w:rsidR="005241B1" w:rsidRPr="008F20D0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316D00" w:rsidRPr="008F20D0">
        <w:rPr>
          <w:rFonts w:ascii="Tahoma" w:hAnsi="Tahoma" w:cs="Tahoma"/>
          <w:bCs/>
          <w:noProof/>
          <w:color w:val="auto"/>
          <w:sz w:val="22"/>
          <w:szCs w:val="22"/>
          <w:lang w:val="sr-Cyrl-RS"/>
        </w:rPr>
        <w:t xml:space="preserve">Прoгрaмску структуру </w:t>
      </w:r>
      <w:r w:rsidR="00316D00" w:rsidRPr="008F20D0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кoрисникa буџета чинe три прoгрaмскe кaтeгoриje: </w:t>
      </w:r>
      <w:r w:rsidR="00316D00" w:rsidRPr="008F20D0">
        <w:rPr>
          <w:rFonts w:ascii="Tahoma" w:hAnsi="Tahoma" w:cs="Tahoma"/>
          <w:iCs/>
          <w:noProof/>
          <w:color w:val="auto"/>
          <w:sz w:val="22"/>
          <w:szCs w:val="22"/>
          <w:lang w:val="sr-Cyrl-RS"/>
        </w:rPr>
        <w:t>прoгрaм</w:t>
      </w:r>
      <w:r w:rsidR="00316D00" w:rsidRPr="008F20D0">
        <w:rPr>
          <w:rFonts w:ascii="Tahoma" w:hAnsi="Tahoma" w:cs="Tahoma"/>
          <w:noProof/>
          <w:color w:val="auto"/>
          <w:sz w:val="22"/>
          <w:szCs w:val="22"/>
          <w:lang w:val="sr-Cyrl-RS"/>
        </w:rPr>
        <w:t>, п</w:t>
      </w:r>
      <w:r w:rsidR="00316D00" w:rsidRPr="008F20D0">
        <w:rPr>
          <w:rFonts w:ascii="Tahoma" w:hAnsi="Tahoma" w:cs="Tahoma"/>
          <w:iCs/>
          <w:noProof/>
          <w:color w:val="auto"/>
          <w:sz w:val="22"/>
          <w:szCs w:val="22"/>
          <w:lang w:val="sr-Cyrl-RS"/>
        </w:rPr>
        <w:t xml:space="preserve">рoгрaмскa aктивнoст </w:t>
      </w:r>
      <w:r w:rsidR="00316D00" w:rsidRPr="008F20D0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и </w:t>
      </w:r>
      <w:r w:rsidR="00316D00" w:rsidRPr="008F20D0">
        <w:rPr>
          <w:rFonts w:ascii="Tahoma" w:hAnsi="Tahoma" w:cs="Tahoma"/>
          <w:iCs/>
          <w:noProof/>
          <w:color w:val="auto"/>
          <w:sz w:val="22"/>
          <w:szCs w:val="22"/>
          <w:lang w:val="sr-Cyrl-RS"/>
        </w:rPr>
        <w:t>прojeкaт</w:t>
      </w:r>
      <w:r w:rsidR="00316D00" w:rsidRPr="008F20D0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, кojима сe групишу рaсхoди и издaци. </w:t>
      </w:r>
      <w:r w:rsidR="00316D00" w:rsidRPr="008F20D0">
        <w:rPr>
          <w:rFonts w:ascii="Tahoma" w:hAnsi="Tahoma" w:cs="Tahoma"/>
          <w:iCs/>
          <w:noProof/>
          <w:color w:val="auto"/>
          <w:sz w:val="22"/>
          <w:szCs w:val="22"/>
          <w:lang w:val="sr-Cyrl-RS"/>
        </w:rPr>
        <w:t xml:space="preserve">Гледајући кроз призму извршења буџета </w:t>
      </w:r>
      <w:r w:rsidR="00392B11">
        <w:rPr>
          <w:rFonts w:ascii="Tahoma" w:hAnsi="Tahoma" w:cs="Tahoma"/>
          <w:iCs/>
          <w:noProof/>
          <w:color w:val="auto"/>
          <w:sz w:val="22"/>
          <w:szCs w:val="22"/>
          <w:lang w:val="sr-Cyrl-RS"/>
        </w:rPr>
        <w:t xml:space="preserve">општине </w:t>
      </w:r>
      <w:r w:rsidR="00893406">
        <w:rPr>
          <w:rFonts w:ascii="Tahoma" w:hAnsi="Tahoma" w:cs="Tahoma"/>
          <w:iCs/>
          <w:noProof/>
          <w:color w:val="auto"/>
          <w:sz w:val="22"/>
          <w:szCs w:val="22"/>
          <w:lang w:val="sr-Cyrl-RS"/>
        </w:rPr>
        <w:t>Смедеревска Паланка</w:t>
      </w:r>
      <w:r w:rsidR="00316D00" w:rsidRPr="008F20D0">
        <w:rPr>
          <w:rFonts w:ascii="Tahoma" w:hAnsi="Tahoma" w:cs="Tahoma"/>
          <w:iCs/>
          <w:noProof/>
          <w:color w:val="auto"/>
          <w:sz w:val="22"/>
          <w:szCs w:val="22"/>
          <w:lang w:val="sr-Cyrl-RS"/>
        </w:rPr>
        <w:t xml:space="preserve">, према њеним надлежностима и заступљеним програмским категоријама расхода, у временском интервалу – буџетским </w:t>
      </w:r>
      <w:r w:rsidR="00316D00" w:rsidRPr="00F82A7F">
        <w:rPr>
          <w:rFonts w:ascii="Tahoma" w:hAnsi="Tahoma" w:cs="Tahoma"/>
          <w:iCs/>
          <w:noProof/>
          <w:sz w:val="22"/>
          <w:szCs w:val="22"/>
          <w:lang w:val="sr-Cyrl-RS"/>
        </w:rPr>
        <w:t>годинама 201</w:t>
      </w:r>
      <w:r w:rsidR="00236987">
        <w:rPr>
          <w:rFonts w:ascii="Tahoma" w:hAnsi="Tahoma" w:cs="Tahoma"/>
          <w:iCs/>
          <w:noProof/>
          <w:sz w:val="22"/>
          <w:szCs w:val="22"/>
          <w:lang w:val="sr-Cyrl-RS"/>
        </w:rPr>
        <w:t>9</w:t>
      </w:r>
      <w:r w:rsidR="00316D00" w:rsidRPr="00F82A7F">
        <w:rPr>
          <w:rFonts w:ascii="Tahoma" w:hAnsi="Tahoma" w:cs="Tahoma"/>
          <w:iCs/>
          <w:noProof/>
          <w:sz w:val="22"/>
          <w:szCs w:val="22"/>
          <w:lang w:val="sr-Cyrl-RS"/>
        </w:rPr>
        <w:t>-202</w:t>
      </w:r>
      <w:r w:rsidR="00236987">
        <w:rPr>
          <w:rFonts w:ascii="Tahoma" w:hAnsi="Tahoma" w:cs="Tahoma"/>
          <w:iCs/>
          <w:noProof/>
          <w:sz w:val="22"/>
          <w:szCs w:val="22"/>
          <w:lang w:val="sr-Cyrl-RS"/>
        </w:rPr>
        <w:t>1</w:t>
      </w:r>
      <w:r w:rsidR="00316D00" w:rsidRPr="00F82A7F">
        <w:rPr>
          <w:rFonts w:ascii="Tahoma" w:hAnsi="Tahoma" w:cs="Tahoma"/>
          <w:iCs/>
          <w:noProof/>
          <w:sz w:val="22"/>
          <w:szCs w:val="22"/>
          <w:lang w:val="sr-Cyrl-RS"/>
        </w:rPr>
        <w:t>, представљена су утрошена буџетска средства по појединачним буџетским програмима</w:t>
      </w:r>
      <w:r w:rsidR="00236987">
        <w:rPr>
          <w:rFonts w:ascii="Tahoma" w:hAnsi="Tahoma" w:cs="Tahoma"/>
          <w:iCs/>
          <w:noProof/>
          <w:sz w:val="22"/>
          <w:szCs w:val="22"/>
          <w:lang w:val="sr-Cyrl-RS"/>
        </w:rPr>
        <w:t xml:space="preserve">. </w:t>
      </w:r>
      <w:r w:rsidR="00316D00" w:rsidRPr="00F82A7F">
        <w:rPr>
          <w:rFonts w:ascii="Tahoma" w:hAnsi="Tahoma" w:cs="Tahoma"/>
          <w:iCs/>
          <w:noProof/>
          <w:sz w:val="22"/>
          <w:szCs w:val="22"/>
          <w:lang w:val="sr-Cyrl-RS"/>
        </w:rPr>
        <w:t xml:space="preserve">Преглед учешћа појединих програма према подацима извршења буџета </w:t>
      </w:r>
      <w:r w:rsidR="00671C4C">
        <w:rPr>
          <w:rFonts w:ascii="Tahoma" w:hAnsi="Tahoma" w:cs="Tahoma"/>
          <w:iCs/>
          <w:noProof/>
          <w:sz w:val="22"/>
          <w:szCs w:val="22"/>
          <w:lang w:val="sr-Cyrl-RS"/>
        </w:rPr>
        <w:t>општине</w:t>
      </w:r>
      <w:r w:rsidR="00316D00" w:rsidRPr="00F82A7F">
        <w:rPr>
          <w:rFonts w:ascii="Tahoma" w:hAnsi="Tahoma" w:cs="Tahoma"/>
          <w:iCs/>
          <w:noProof/>
          <w:sz w:val="22"/>
          <w:szCs w:val="22"/>
          <w:lang w:val="sr-Cyrl-RS"/>
        </w:rPr>
        <w:t xml:space="preserve"> кроз анализу завршних рачуна у предметном временском интервалу показује табеларни приказ бр. </w:t>
      </w:r>
      <w:r w:rsidR="00846642">
        <w:rPr>
          <w:rFonts w:ascii="Tahoma" w:hAnsi="Tahoma" w:cs="Tahoma"/>
          <w:iCs/>
          <w:noProof/>
          <w:sz w:val="22"/>
          <w:szCs w:val="22"/>
          <w:lang w:val="sr-Cyrl-RS"/>
        </w:rPr>
        <w:t>2</w:t>
      </w:r>
      <w:r w:rsidR="00236987">
        <w:rPr>
          <w:rFonts w:ascii="Tahoma" w:hAnsi="Tahoma" w:cs="Tahoma"/>
          <w:iCs/>
          <w:noProof/>
          <w:sz w:val="22"/>
          <w:szCs w:val="22"/>
          <w:lang w:val="sr-Cyrl-RS"/>
        </w:rPr>
        <w:t>.</w:t>
      </w:r>
    </w:p>
    <w:p w14:paraId="47B7F2D0" w14:textId="7648ECB9" w:rsidR="00E55BFD" w:rsidRDefault="00236987" w:rsidP="007E00CE">
      <w:pPr>
        <w:spacing w:after="160" w:line="259" w:lineRule="auto"/>
        <w:jc w:val="both"/>
        <w:rPr>
          <w:rFonts w:ascii="Tahoma" w:hAnsi="Tahoma" w:cs="Tahoma"/>
          <w:bCs/>
          <w:iCs/>
          <w:sz w:val="22"/>
          <w:szCs w:val="22"/>
          <w:lang w:val="sr-Cyrl-BA"/>
        </w:rPr>
      </w:pPr>
      <w:r w:rsidRPr="00236987">
        <w:rPr>
          <w:rFonts w:ascii="Tahoma" w:hAnsi="Tahoma" w:cs="Tahoma"/>
          <w:b/>
          <w:iCs/>
          <w:sz w:val="22"/>
          <w:szCs w:val="22"/>
          <w:lang w:val="sr-Cyrl-BA"/>
        </w:rPr>
        <w:t xml:space="preserve">Табела бр. </w:t>
      </w:r>
      <w:r w:rsidR="007E00CE">
        <w:rPr>
          <w:rFonts w:ascii="Tahoma" w:hAnsi="Tahoma" w:cs="Tahoma"/>
          <w:b/>
          <w:iCs/>
          <w:sz w:val="22"/>
          <w:szCs w:val="22"/>
          <w:lang w:val="sr-Cyrl-BA"/>
        </w:rPr>
        <w:t>2</w:t>
      </w:r>
      <w:r w:rsidRPr="00236987">
        <w:rPr>
          <w:rFonts w:ascii="Tahoma" w:hAnsi="Tahoma" w:cs="Tahoma"/>
          <w:b/>
          <w:iCs/>
          <w:sz w:val="22"/>
          <w:szCs w:val="22"/>
          <w:lang w:val="sr-Cyrl-BA"/>
        </w:rPr>
        <w:t>.</w:t>
      </w:r>
      <w:r w:rsidRPr="00236987">
        <w:rPr>
          <w:rFonts w:ascii="Tahoma" w:hAnsi="Tahoma" w:cs="Tahoma"/>
          <w:bCs/>
          <w:iCs/>
          <w:sz w:val="22"/>
          <w:szCs w:val="22"/>
          <w:lang w:val="sr-Cyrl-BA"/>
        </w:rPr>
        <w:t xml:space="preserve"> Учешће буџетских програма и програмских активности у извршењу буџета </w:t>
      </w:r>
      <w:r w:rsidR="00671C4C">
        <w:rPr>
          <w:rFonts w:ascii="Tahoma" w:hAnsi="Tahoma" w:cs="Tahoma"/>
          <w:bCs/>
          <w:iCs/>
          <w:sz w:val="22"/>
          <w:szCs w:val="22"/>
          <w:lang w:val="sr-Cyrl-BA"/>
        </w:rPr>
        <w:t xml:space="preserve">општине </w:t>
      </w:r>
      <w:r w:rsidR="00893406">
        <w:rPr>
          <w:rFonts w:ascii="Tahoma" w:hAnsi="Tahoma" w:cs="Tahoma"/>
          <w:bCs/>
          <w:iCs/>
          <w:sz w:val="22"/>
          <w:szCs w:val="22"/>
          <w:lang w:val="sr-Cyrl-BA"/>
        </w:rPr>
        <w:t>Смедеревска Паланка</w:t>
      </w:r>
      <w:r>
        <w:rPr>
          <w:rFonts w:ascii="Tahoma" w:hAnsi="Tahoma" w:cs="Tahoma"/>
          <w:bCs/>
          <w:iCs/>
          <w:sz w:val="22"/>
          <w:szCs w:val="22"/>
          <w:lang w:val="sr-Cyrl-BA"/>
        </w:rPr>
        <w:t xml:space="preserve"> 2019-2021</w:t>
      </w:r>
    </w:p>
    <w:p w14:paraId="516CCE35" w14:textId="2BFB1A03" w:rsidR="00236987" w:rsidRPr="00671C4C" w:rsidRDefault="003827F8" w:rsidP="003827F8">
      <w:pPr>
        <w:tabs>
          <w:tab w:val="left" w:pos="295"/>
          <w:tab w:val="right" w:pos="9360"/>
        </w:tabs>
        <w:spacing w:after="120"/>
        <w:rPr>
          <w:rFonts w:ascii="Tahoma" w:hAnsi="Tahoma" w:cs="Tahoma"/>
          <w:bCs/>
          <w:iCs/>
          <w:sz w:val="16"/>
          <w:szCs w:val="16"/>
          <w:lang w:val="sr-Cyrl-BA"/>
        </w:rPr>
      </w:pPr>
      <w:r w:rsidRPr="00671C4C">
        <w:rPr>
          <w:rFonts w:ascii="Tahoma" w:hAnsi="Tahoma" w:cs="Tahoma"/>
          <w:bCs/>
          <w:iCs/>
          <w:sz w:val="16"/>
          <w:szCs w:val="16"/>
          <w:lang w:val="sr-Cyrl-BA"/>
        </w:rPr>
        <w:tab/>
      </w:r>
      <w:r w:rsidRPr="00671C4C">
        <w:rPr>
          <w:rFonts w:ascii="Tahoma" w:hAnsi="Tahoma" w:cs="Tahoma"/>
          <w:bCs/>
          <w:iCs/>
          <w:sz w:val="16"/>
          <w:szCs w:val="16"/>
          <w:lang w:val="sr-Cyrl-BA"/>
        </w:rPr>
        <w:tab/>
      </w:r>
      <w:r w:rsidR="0026795F" w:rsidRPr="00671C4C">
        <w:rPr>
          <w:rFonts w:ascii="Tahoma" w:hAnsi="Tahoma" w:cs="Tahoma"/>
          <w:bCs/>
          <w:iCs/>
          <w:sz w:val="16"/>
          <w:szCs w:val="16"/>
          <w:lang w:val="sr-Cyrl-BA"/>
        </w:rPr>
        <w:t>у 000 динара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3460"/>
        <w:gridCol w:w="1040"/>
        <w:gridCol w:w="1160"/>
        <w:gridCol w:w="1170"/>
        <w:gridCol w:w="1170"/>
        <w:gridCol w:w="1350"/>
      </w:tblGrid>
      <w:tr w:rsidR="001A4128" w:rsidRPr="001A4128" w14:paraId="34665253" w14:textId="77777777" w:rsidTr="00C04D70">
        <w:trPr>
          <w:trHeight w:val="324"/>
        </w:trPr>
        <w:tc>
          <w:tcPr>
            <w:tcW w:w="3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884D9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ПРОГРАМ / ПA / Пројекат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FFD4A5A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Шифра</w:t>
            </w:r>
          </w:p>
        </w:tc>
        <w:tc>
          <w:tcPr>
            <w:tcW w:w="35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BDD7EE"/>
            <w:vAlign w:val="center"/>
            <w:hideMark/>
          </w:tcPr>
          <w:p w14:paraId="631A5082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 xml:space="preserve">Године 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8F8823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Укупно</w:t>
            </w:r>
          </w:p>
        </w:tc>
      </w:tr>
      <w:tr w:rsidR="001A4128" w:rsidRPr="001A4128" w14:paraId="643CC57F" w14:textId="77777777" w:rsidTr="00C04D70">
        <w:trPr>
          <w:trHeight w:val="564"/>
        </w:trPr>
        <w:tc>
          <w:tcPr>
            <w:tcW w:w="3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1090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51BD5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AB96145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4D551F5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6B5FF32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2021</w:t>
            </w: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0BD6D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</w:tr>
      <w:tr w:rsidR="001A4128" w:rsidRPr="001A4128" w14:paraId="3EE26000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A71947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1- Становање, урбанизам и просторно планирање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25998AF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2434A4B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6,531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A85D51E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6,203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B4DD0BF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17,062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4DE8A1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29,796</w:t>
            </w:r>
          </w:p>
        </w:tc>
      </w:tr>
      <w:tr w:rsidR="001A4128" w:rsidRPr="001A4128" w14:paraId="0F3707D9" w14:textId="77777777" w:rsidTr="00C04D70">
        <w:trPr>
          <w:trHeight w:val="432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9AEFA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Просторно и урбанистичко планирање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A7187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2378A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2,006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96767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5,451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D08BB9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4,246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FF9C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5F7A05AB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4D331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Спровођење урбанистичких и просторних планова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6E3F3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3E9B8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A2F3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91C55E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7B25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5D91A782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8590B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Управљање грађевинским земљиштем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CF8B9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EC978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4,525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3C89A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5384C6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6,321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F0C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3A5A7FE7" w14:textId="77777777" w:rsidTr="00C04D70">
        <w:trPr>
          <w:trHeight w:val="32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4128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lastRenderedPageBreak/>
              <w:t xml:space="preserve">Стамбена подршка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67E08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DE85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695D1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702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9E285B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6,495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CBBB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0EE21797" w14:textId="77777777" w:rsidTr="00C04D70">
        <w:trPr>
          <w:trHeight w:val="459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9A46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Остваривање јавног интереса у одржавању зграда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4357E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0036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5DE7F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A5A7E5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DC67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77AE8345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FA9D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 xml:space="preserve">Пројекти у програму 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44AFD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8DC598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E23176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903C28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E87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17C154B8" w14:textId="77777777" w:rsidTr="00C04D70">
        <w:trPr>
          <w:trHeight w:val="339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7CEEF34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2 - Комуналне делатности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75F83638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E45088A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68,254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9657C43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90,183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55CDFEB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99,455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072272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257,892</w:t>
            </w:r>
          </w:p>
        </w:tc>
      </w:tr>
      <w:tr w:rsidR="001A4128" w:rsidRPr="001A4128" w14:paraId="658646B5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BE07F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Управљање/одржавање јавним осветљењем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0572F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D610B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45,263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0BAF7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60,170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152A6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63,894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77A1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36855898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38B4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Одржавање јавних зелених површина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24654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0FF52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7,468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FE1E7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9,021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A3128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12,259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CE5C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091C4A82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48966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Одржавање чистоће на површинама јавне намене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7E127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55981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13,164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77684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18,586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A78D2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20,179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0C7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75F747E9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30F95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Зоохигијенa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97D00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D59D8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C7C39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67EDB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83D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437E3ABF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EA511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Уређивање, одржавање и коришћење пијаца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F348C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FC19E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38D4F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0F16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F73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3FCF48A2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08EF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Одржавање гробаља и погребне услуге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9BB47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25DF3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1,991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AEDDF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2,137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45F81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8307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791D2D" w:rsidRPr="001A4128" w14:paraId="158B2A95" w14:textId="77777777" w:rsidTr="00791D2D">
        <w:trPr>
          <w:trHeight w:val="399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2455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  <w:t>Производња и дистрибуција топлотне енергије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A25CB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  <w:t>0007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8AFC5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BD5F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B029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7A1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63BD3107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D5D6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Управљање и одржавање водоводне инфраструктуре и снабдевање водом за пиће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46ED7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CF9B6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368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47927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8DCA8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3,123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CE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3B13DAD8" w14:textId="77777777" w:rsidTr="00C04D70">
        <w:trPr>
          <w:trHeight w:val="312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EC9B5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Остале комуналне услуге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D21BD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4023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6A8F1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BE3AB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E0DA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59B24A7E" w14:textId="77777777" w:rsidTr="00C04D70">
        <w:trPr>
          <w:trHeight w:val="32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F6D8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 xml:space="preserve">Пројекти у програму комуналне делатности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9C4CF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0213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67FDC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40F2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0F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429367A4" w14:textId="77777777" w:rsidTr="00C04D70">
        <w:trPr>
          <w:trHeight w:val="38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7E0A2C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3- Локални економски развој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FD1B8C8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BAAC099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0AB95CF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19EF314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E007AE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0</w:t>
            </w:r>
          </w:p>
        </w:tc>
      </w:tr>
      <w:tr w:rsidR="001A4128" w:rsidRPr="001A4128" w14:paraId="3A786B84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BD8B8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Унапређење привредног и инвестиционог амбијента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5D206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471F7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8E4E93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694866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99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475F5719" w14:textId="77777777" w:rsidTr="00C04D70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17E3F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Мере активне политике запошљавања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501D0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F37AFB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C1B0BF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A666C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C0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7292774E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D22EA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Подршка економском развоју и промоцији предузетништва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133C4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3BA7FD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A8812F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70AD9B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02BA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50F9D968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7CE17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Пројекти у оквиру програма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A31C7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448F0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2F3956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B76A84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0E5C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345CD510" w14:textId="77777777" w:rsidTr="00C04D70">
        <w:trPr>
          <w:trHeight w:val="36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C16398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4- Развој туризма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BA9EC94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0E598E5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3276CB2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7A81CAE4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51920D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0</w:t>
            </w:r>
          </w:p>
        </w:tc>
      </w:tr>
      <w:tr w:rsidR="001A4128" w:rsidRPr="001A4128" w14:paraId="468AB4C2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6A69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Управљање развојем туризма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10E20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7A85C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296E1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31E3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F938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37687085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54108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Промоција туристичке понуде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C9F7B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F07C7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A2BD1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FD88E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7B27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2368E3DB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160A1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Пројекти у оквиру програма 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4D0CF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B8A9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174CB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A355C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EB4E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1BA73B8F" w14:textId="77777777" w:rsidTr="00C04D70">
        <w:trPr>
          <w:trHeight w:val="40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9FA1E35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5 - Пољопривреда и рурални развој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B657BF8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F51B315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4,764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C500C3C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2,972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5F25150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2,282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2612AD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10,018</w:t>
            </w:r>
          </w:p>
        </w:tc>
      </w:tr>
      <w:tr w:rsidR="001A4128" w:rsidRPr="001A4128" w14:paraId="1FEC76E6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4A61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431E5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AF5EF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4,764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9A033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2,972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39E38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2,282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8E1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4D829F5D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A2308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Мере подршке руралном развоју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EBCB4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A1437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65F1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BD345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E21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45E461D6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89B2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 xml:space="preserve">Пројекти у оквиру програма 3.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54EB5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9554A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9C210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6B2E8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58FA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708A5C4A" w14:textId="77777777" w:rsidTr="00C04D70">
        <w:trPr>
          <w:trHeight w:val="46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58A21B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6 - Заштита животне средине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7F3B39B2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E215CEC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563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0F69BEF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18,826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FC8DD45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10,955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DD5172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30,344</w:t>
            </w:r>
          </w:p>
        </w:tc>
      </w:tr>
      <w:tr w:rsidR="001A4128" w:rsidRPr="001A4128" w14:paraId="11A97274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36B3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Управљање заштитом животне средине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52DF8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148C6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1D14A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666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6B303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D9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59EC2906" w14:textId="77777777" w:rsidTr="00C04D70">
        <w:trPr>
          <w:trHeight w:val="40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884A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Праћење квалитета елемената животне средине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53967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81C9B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E2745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56E6A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A50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68583E62" w14:textId="77777777" w:rsidTr="00C04D70">
        <w:trPr>
          <w:trHeight w:val="312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EA937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Заштита природе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E7B40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AF8AD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481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2E80D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1,368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D2772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805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966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60D426DD" w14:textId="77777777" w:rsidTr="00791D2D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E158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Управљање отпадним водама и канализациона инфраструктура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C093F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B9ABE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C313B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11,120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985D6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5,838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680A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7B93E5CB" w14:textId="77777777" w:rsidTr="00C04D70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3E751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Управљање комуналним отпадом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DF201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9F991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7E40D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49F4A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A82E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09B12864" w14:textId="77777777" w:rsidTr="00C04D70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E38AF6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Управљање осталим врстама отпада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57070F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6C8DA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43D86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5,480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8E77D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3,974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8DE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513F02CA" w14:textId="77777777" w:rsidTr="00C04D70">
        <w:trPr>
          <w:trHeight w:val="26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73F85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Пројекти у оквиру програма 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CBE30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90E6E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B6762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9D0C6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2248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1588C6C6" w14:textId="77777777" w:rsidTr="00C04D70">
        <w:trPr>
          <w:trHeight w:val="44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795AE907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7 – Организација саобраћаја и саобраћајна инфраструктура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FAAB618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31876A2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53,524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C8BFC5F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120,002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15D81FB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149,960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50603D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323,486</w:t>
            </w:r>
          </w:p>
        </w:tc>
      </w:tr>
      <w:tr w:rsidR="001A4128" w:rsidRPr="001A4128" w14:paraId="75B0FD3E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E5FC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lastRenderedPageBreak/>
              <w:t>Одржавање саобраћајне инфрастурктуре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CA0C4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072BF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EC04E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120,002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47603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119,251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065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422333B6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01D1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Управљање и одржавање саобраћајне инфрастурктуре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91F60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570CD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53,524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55AE4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C9E63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39B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11529DFD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3A2FC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Управљање јавним паркиралиштима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07D87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C9808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14BA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F992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7C7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2E15C6BE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3AD95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Јавни градски и приграски превоз путника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6E939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DFD1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3E701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1BDF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9A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098A9DEC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63926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Унапређење безбедности саобраћаја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B1D48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F08A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BE30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1871F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30,709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623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609D1FFC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92DD8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Пројекти у програму 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07969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E5EA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103C8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AD977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5A7B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0BD6AE86" w14:textId="77777777" w:rsidTr="00C04D70">
        <w:trPr>
          <w:trHeight w:val="399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6E0F7C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8 – Предшколско васпитање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7F8DDF49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0BBDF7F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242,037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279B4DF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232,474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21CAF85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312,249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8664D3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786,760</w:t>
            </w:r>
          </w:p>
        </w:tc>
      </w:tr>
      <w:tr w:rsidR="001A4128" w:rsidRPr="001A4128" w14:paraId="40316451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2032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Функционисање и остваривање предшкослког васпитања и образовања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0AD89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E58F5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242,037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76FF7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229,026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F4313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263,127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22EB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01D1366B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82BF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Пројекти у програму 8.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C424F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8896C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CBAF8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3,448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D818D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49,122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E6AC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1F63D132" w14:textId="77777777" w:rsidTr="00C04D70">
        <w:trPr>
          <w:trHeight w:val="339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22169DB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9 – Основно образовање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6E6DF3C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2002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20EE820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108,233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0EBD99B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94,121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308022D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112,078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483D48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314,432</w:t>
            </w:r>
          </w:p>
        </w:tc>
      </w:tr>
      <w:tr w:rsidR="001A4128" w:rsidRPr="001A4128" w14:paraId="1532F270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D341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Функционисање основних школа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36643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6FC5E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108,233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C8ECB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94,121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EEA20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112,078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821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63D39125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B7CD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Пројекти у програму 9.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223BF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21ABA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7F7DC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C85CC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928B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69BD49C5" w14:textId="77777777" w:rsidTr="00C04D70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674308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10 – Средње образовање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72777194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B4D2B3B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26,504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A806901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27,073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7B48F47F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28,422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D8A1A0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81,999</w:t>
            </w:r>
          </w:p>
        </w:tc>
      </w:tr>
      <w:tr w:rsidR="001A4128" w:rsidRPr="001A4128" w14:paraId="3F287B52" w14:textId="77777777" w:rsidTr="00C04D70">
        <w:trPr>
          <w:trHeight w:val="252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3F1D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Функционисање средњих школа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0C44F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7B4F5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26,504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605ED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27,073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E421E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28,422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5DC1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4EF499B7" w14:textId="77777777" w:rsidTr="00C04D70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FDA3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Пројекти у програму 10 - Средње образовање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28F19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8913E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8C55F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8C327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698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34B36F60" w14:textId="77777777" w:rsidTr="00C04D70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8B9DF5E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11 - Социјална и дечија заштита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DBAE37B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75B5A059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29,920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3D57F26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32,340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07BC8B8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47,338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D0149B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109,598</w:t>
            </w:r>
          </w:p>
        </w:tc>
      </w:tr>
      <w:tr w:rsidR="001A4128" w:rsidRPr="001A4128" w14:paraId="12D588B0" w14:textId="77777777" w:rsidTr="00C04D70">
        <w:trPr>
          <w:trHeight w:val="279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4936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Једнократне помоћи и други облици помоћи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70AD1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6C333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12,681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B5C1B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13,325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97D2F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13,531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33D7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6A5ED2F1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989A7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28A9C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C4C5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8FB3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98E5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B65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604D1EC1" w14:textId="77777777" w:rsidTr="00C04D70">
        <w:trPr>
          <w:trHeight w:val="22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F5A7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Дневне услуге у заједници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F5FAC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649C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8967B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1C1F5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3,737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7C3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3E4E1B1B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1AFDA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Саветодавне-терапијске и социјално-едукативне услуге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3FA97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135C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881E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C9C17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ED0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67CD4C11" w14:textId="77777777" w:rsidTr="00C04D70">
        <w:trPr>
          <w:trHeight w:val="44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2B46C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Подршка реализацији програма Црвеног крста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0765E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9B389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984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9823C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688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60E1D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693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51F7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2819251E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C122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Подршка деци и породица са децом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02953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E0482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6,927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FC146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8,347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67BC3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18,609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BFCE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60C0F1E8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1BD3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Подршка  рађању и родитељству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51EEE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06787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0826E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88E6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DF9A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4F7FF69C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D3EC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Подршка особама са инвалидитетом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D340D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2AA92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9,328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66054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9,980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A66B0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10,768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1E4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30641344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4ABB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Пројекти у програму 11 – Социјална и дечија заштита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B8A27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FE6E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981CE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5B8E3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2D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6A6C27C6" w14:textId="77777777" w:rsidTr="00C04D70">
        <w:trPr>
          <w:trHeight w:val="312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A43D90B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12 - Здравствена заштита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7EA3D75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0448FC4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7,626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14C1904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10,308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F685484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8,359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7F3049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26,293</w:t>
            </w:r>
          </w:p>
        </w:tc>
      </w:tr>
      <w:tr w:rsidR="001A4128" w:rsidRPr="001A4128" w14:paraId="2DA3D606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ECD2A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Функционисање установа примарне здравствене заштите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1B639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88D1D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7,626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A544C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10,308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0BB61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8,359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54EC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7398AE7D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67A6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Мртвозорство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35DB2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E550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19B9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A5E07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DD5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7BAFD36D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ADC7C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 xml:space="preserve">Спровођење активности из области друштвене бриге за јавно здравље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94A40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264DA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3AC6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8CD06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131C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4C6DA0D0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EF246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Пројекти у програму 12.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1386E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E94FF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6EDF3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3721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F55C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4294AB54" w14:textId="77777777" w:rsidTr="00C04D70">
        <w:trPr>
          <w:trHeight w:val="38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4BF35F6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13 - Развој културе и информисања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685F582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C285F94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117,253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3E7AB6C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109,951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9A83569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148,147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15DB8E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375,351</w:t>
            </w:r>
          </w:p>
        </w:tc>
      </w:tr>
      <w:tr w:rsidR="001A4128" w:rsidRPr="001A4128" w14:paraId="5C30C477" w14:textId="77777777" w:rsidTr="00C04D70">
        <w:trPr>
          <w:trHeight w:val="252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DA01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 xml:space="preserve">Функционисање локалних установа културе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26AE4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B87F0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93,117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AFD99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86,694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F905B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104,392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A84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1161BE03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EDF6E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Јачање културне продукције и уметничког стваралаштва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26B8F1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91BD08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0DC0AF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A5DF2D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A6DF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292A5218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C33C7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F2ECED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7848B2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898D3C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FC15F6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25B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1449F206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9C252E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4B33F9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159E45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19,859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656322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17,309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98CD52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16,334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7E9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65C7E8E7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D6863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Пројекти у култури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E7514F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270410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4,277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D3B4C8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5,948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CAFD66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27,421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1A5A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3A2F762B" w14:textId="77777777" w:rsidTr="00C04D70">
        <w:trPr>
          <w:trHeight w:val="312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13EC99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14 - Развој спорта и омладине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0C7D635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D7185DF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17,774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772994F3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20,134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1441F6C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39,314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76307F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77,222</w:t>
            </w:r>
          </w:p>
        </w:tc>
      </w:tr>
      <w:tr w:rsidR="001A4128" w:rsidRPr="001A4128" w14:paraId="55DACF15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5172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lastRenderedPageBreak/>
              <w:t>Подршка локалним спорствим организацијама, удружењима и савезима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70519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B4B33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17,275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0C96E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16,000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C5BFF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24,830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3A1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2B0C2A75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72CD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Подршка предшколском и школском спорту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060F7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4BF4B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B78B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3B1F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341E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413EAABF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58FE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Одржавање спортске инфраструктуре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DD8F3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8A1D2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4A9F8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936C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610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7752D68B" w14:textId="77777777" w:rsidTr="00C04D70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9487E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Функционисање локалних спортских установа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EBAD9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3160F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227C5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CA72E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57CB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446F006C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D7D7E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Спровођење омладинске политике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4334C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0D35C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499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947DD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4,134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6C227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14,484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15FA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5B01A21A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FF896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Пројекти у програму 14.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08C06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8B3FE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E142E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8FAC1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BA58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7FCB93EC" w14:textId="77777777" w:rsidTr="00C04D70">
        <w:trPr>
          <w:trHeight w:val="372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8B49B01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15 - Опште услуге локалне самоуправе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73AB7437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602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3964FAE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409,866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87B76B1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337,829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3852BC9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391,838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6ED7C70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1,139,533</w:t>
            </w:r>
          </w:p>
        </w:tc>
      </w:tr>
      <w:tr w:rsidR="001A4128" w:rsidRPr="001A4128" w14:paraId="4B433F17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6D0A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Функционисање локалне самоуправе и градских општина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E68C2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5C421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331,636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1DDF5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299,778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CF425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339,284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F7C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1843B07B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833F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Функционисање месних заједница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F5A90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1FE48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45,755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5044B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15,689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2A010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17,808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7887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79B4ADE6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6259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Управљање јавним дугом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BFF12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535D2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EA2DD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ACF80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4BD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4307A9A5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03F1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Општинско/градско правобранилаштво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092BF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A70DE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  <w:t>3,784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8D96D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16,573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A1033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22,718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5A0E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0B64201A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401A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Омбудсман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F1311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B590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color w:val="00B050"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color w:val="00B050"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24F8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10778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6E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6396102D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02A5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Инспекцијски послови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400A0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8D17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9A0A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5AE6A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0BC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47D7FEF9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76D0F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Функционисање националних савета националних мањина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FA2B4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1AD74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2,286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821B7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1,593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25CDF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1,489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A65C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66D221B3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D7158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Управљање у ванредним ситуацијама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22378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79F04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C2FEC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1,671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757E9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6,222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6421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538718E0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3B675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 xml:space="preserve">Пројекти у програму 15 - Опште услуге локалне самоуправе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B6598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54FCE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26,340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39F01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2,525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7A4EE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4,317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27CF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4293B7C8" w14:textId="77777777" w:rsidTr="00C04D70">
        <w:trPr>
          <w:trHeight w:val="44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0D219C7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16 – Политички систем локалне самоуправе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73396F3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3132AFD6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43,249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09075A2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41,377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0FD6B41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53,701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0882EE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138,327</w:t>
            </w:r>
          </w:p>
        </w:tc>
      </w:tr>
      <w:tr w:rsidR="001A4128" w:rsidRPr="001A4128" w14:paraId="60F4C869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E4CE6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Функционисање Скупштине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8D3D8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3D976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  <w:t>22,679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A7575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21,411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8F16E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21,345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E05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0653C007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95271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Функционисање извршног органа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C7AEA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42FE3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  <w:t>20,570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DD8E0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19,966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5F92B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32,356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C0C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6F94F5D3" w14:textId="77777777" w:rsidTr="00C04D70">
        <w:trPr>
          <w:trHeight w:val="21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A6F15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Подршка извршном органу власти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46EB8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8468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5D5E0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AB46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14C7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5A4EDA91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7903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Пројекти у програму 16 - Политички систем локалне самоуправе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3A168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40B6A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6CC6E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D798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A9D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165EE2BE" w14:textId="77777777" w:rsidTr="00C04D70">
        <w:trPr>
          <w:trHeight w:val="432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E23E17E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17 - Енергетска ефикасност и обновљиви извори енергије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18E5911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CFBC728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214052C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517594D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C9C387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0</w:t>
            </w:r>
          </w:p>
        </w:tc>
      </w:tr>
      <w:tr w:rsidR="001A4128" w:rsidRPr="001A4128" w14:paraId="580BDC66" w14:textId="77777777" w:rsidTr="00C04D70">
        <w:trPr>
          <w:trHeight w:val="62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D5E8D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Унaпрeђeњe и пoбoљшaњe енергерске ефикасности и употреба обновљивих извора енергије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124A8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82E46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42D31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66AA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1E78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31B63D21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32A2B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Пројекти у програму 17 - Енергетска ефикасност и обновљиви извори енергије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589CA" w14:textId="77777777" w:rsidR="001A4128" w:rsidRPr="001A4128" w:rsidRDefault="001A4128" w:rsidP="001A412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3DFE1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077E2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3D4FA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23F4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444E3082" w14:textId="77777777" w:rsidTr="00C04D70">
        <w:trPr>
          <w:trHeight w:val="459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3753EDA3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Укупни расходи из свих извора финансирања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9D0471B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364495D3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color w:val="auto"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color w:val="auto"/>
                <w:sz w:val="16"/>
                <w:szCs w:val="16"/>
                <w:lang w:val="sr-Cyrl-RS"/>
              </w:rPr>
              <w:t>1,136,098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0349048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1,143,793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7B8FB859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1,421,160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A03641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3,701,051</w:t>
            </w:r>
          </w:p>
        </w:tc>
      </w:tr>
      <w:tr w:rsidR="001A4128" w:rsidRPr="001A4128" w14:paraId="116D2726" w14:textId="77777777" w:rsidTr="00C04D70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7BD5A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Планирани обим буџета - текући буџет по задњем ребалансу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7DC2A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6397B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1,248,634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81832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1,265,329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52150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1,524,768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CA50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 </w:t>
            </w:r>
          </w:p>
        </w:tc>
      </w:tr>
      <w:tr w:rsidR="001A4128" w:rsidRPr="001A4128" w14:paraId="71720A94" w14:textId="77777777" w:rsidTr="00C04D70">
        <w:trPr>
          <w:trHeight w:val="372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383863E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 xml:space="preserve">Проценат извршења годишњег буџета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7C1BD29" w14:textId="77777777" w:rsidR="001A4128" w:rsidRPr="001A4128" w:rsidRDefault="001A4128" w:rsidP="001A412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E82900F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90.99%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1DD51D5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90.39%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299560A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93.20%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866232" w14:textId="77777777" w:rsidR="001A4128" w:rsidRPr="001A4128" w:rsidRDefault="001A4128" w:rsidP="001A412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1A412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 </w:t>
            </w:r>
          </w:p>
        </w:tc>
      </w:tr>
    </w:tbl>
    <w:p w14:paraId="25B9FF97" w14:textId="77777777" w:rsidR="000A2E7E" w:rsidRDefault="000A2E7E" w:rsidP="00FA547A">
      <w:pPr>
        <w:spacing w:after="120"/>
        <w:jc w:val="both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</w:p>
    <w:p w14:paraId="1242F571" w14:textId="00FA9564" w:rsidR="00236987" w:rsidRDefault="009E0BAC" w:rsidP="00FA547A">
      <w:pPr>
        <w:spacing w:after="120"/>
        <w:jc w:val="both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  <w:r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Извор: Одлуке о завршним рачунима буџета </w:t>
      </w:r>
      <w:r w:rsidR="00671C4C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општине </w:t>
      </w:r>
      <w:r w:rsidR="001A4128">
        <w:rPr>
          <w:rFonts w:ascii="Tahoma" w:hAnsi="Tahoma" w:cs="Tahoma"/>
          <w:bCs/>
          <w:iCs/>
          <w:noProof/>
          <w:sz w:val="18"/>
          <w:szCs w:val="18"/>
          <w:lang w:val="sr-Cyrl-RS"/>
        </w:rPr>
        <w:t>Смедеревска Паланка</w:t>
      </w:r>
      <w:r w:rsidR="005D501B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</w:t>
      </w:r>
      <w:r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>2019-2021</w:t>
      </w:r>
    </w:p>
    <w:p w14:paraId="53DD0B08" w14:textId="77777777" w:rsidR="005D501B" w:rsidRDefault="005D501B" w:rsidP="00FA547A">
      <w:pPr>
        <w:spacing w:after="120"/>
        <w:jc w:val="both"/>
        <w:rPr>
          <w:rFonts w:ascii="Tahoma" w:hAnsi="Tahoma" w:cs="Tahoma"/>
          <w:iCs/>
          <w:noProof/>
          <w:color w:val="auto"/>
          <w:sz w:val="22"/>
          <w:szCs w:val="22"/>
          <w:lang w:val="sr-Cyrl-BA"/>
        </w:rPr>
      </w:pPr>
    </w:p>
    <w:p w14:paraId="10BF2446" w14:textId="260850DF" w:rsidR="00FE166D" w:rsidRPr="008B5ABD" w:rsidRDefault="00316D00" w:rsidP="00FA547A">
      <w:pPr>
        <w:spacing w:after="120"/>
        <w:jc w:val="both"/>
        <w:rPr>
          <w:rFonts w:ascii="Tahoma" w:hAnsi="Tahoma" w:cs="Tahoma"/>
          <w:iCs/>
          <w:noProof/>
          <w:color w:val="auto"/>
          <w:sz w:val="22"/>
          <w:szCs w:val="22"/>
          <w:lang w:val="sr-Cyrl-BA"/>
        </w:rPr>
      </w:pPr>
      <w:r w:rsidRPr="008B5ABD">
        <w:rPr>
          <w:rFonts w:ascii="Tahoma" w:hAnsi="Tahoma" w:cs="Tahoma"/>
          <w:iCs/>
          <w:noProof/>
          <w:color w:val="auto"/>
          <w:sz w:val="22"/>
          <w:szCs w:val="22"/>
          <w:lang w:val="sr-Cyrl-BA"/>
        </w:rPr>
        <w:t xml:space="preserve">Према програмској класификацији, по заступљеним </w:t>
      </w:r>
      <w:bookmarkStart w:id="1" w:name="_Hlk13825872"/>
      <w:r w:rsidRPr="008B5ABD">
        <w:rPr>
          <w:rFonts w:ascii="Tahoma" w:hAnsi="Tahoma" w:cs="Tahoma"/>
          <w:iCs/>
          <w:noProof/>
          <w:color w:val="auto"/>
          <w:sz w:val="22"/>
          <w:szCs w:val="22"/>
          <w:lang w:val="sr-Cyrl-BA"/>
        </w:rPr>
        <w:t>основним програмима буџета за локалну власт, анализ</w:t>
      </w:r>
      <w:r w:rsidR="00F421FA" w:rsidRPr="008B5ABD">
        <w:rPr>
          <w:rFonts w:ascii="Tahoma" w:hAnsi="Tahoma" w:cs="Tahoma"/>
          <w:iCs/>
          <w:noProof/>
          <w:color w:val="auto"/>
          <w:sz w:val="22"/>
          <w:szCs w:val="22"/>
          <w:lang w:val="sr-Cyrl-RS"/>
        </w:rPr>
        <w:t>ом</w:t>
      </w:r>
      <w:r w:rsidRPr="008B5ABD">
        <w:rPr>
          <w:rFonts w:ascii="Tahoma" w:hAnsi="Tahoma" w:cs="Tahoma"/>
          <w:iCs/>
          <w:noProof/>
          <w:color w:val="auto"/>
          <w:sz w:val="22"/>
          <w:szCs w:val="22"/>
          <w:lang w:val="sr-Cyrl-BA"/>
        </w:rPr>
        <w:t xml:space="preserve"> учешћа (и релативног) појединих програма у укупним расходима </w:t>
      </w:r>
      <w:r w:rsidR="00556990" w:rsidRPr="008B5ABD">
        <w:rPr>
          <w:rFonts w:ascii="Tahoma" w:hAnsi="Tahoma" w:cs="Tahoma"/>
          <w:iCs/>
          <w:noProof/>
          <w:color w:val="auto"/>
          <w:sz w:val="22"/>
          <w:szCs w:val="22"/>
          <w:lang w:val="sr-Cyrl-BA"/>
        </w:rPr>
        <w:t xml:space="preserve">и издацима </w:t>
      </w:r>
      <w:r w:rsidRPr="008B5ABD">
        <w:rPr>
          <w:rFonts w:ascii="Tahoma" w:hAnsi="Tahoma" w:cs="Tahoma"/>
          <w:iCs/>
          <w:noProof/>
          <w:color w:val="auto"/>
          <w:sz w:val="22"/>
          <w:szCs w:val="22"/>
          <w:lang w:val="sr-Cyrl-BA"/>
        </w:rPr>
        <w:t xml:space="preserve">буџета </w:t>
      </w:r>
      <w:r w:rsidR="001E1CA3">
        <w:rPr>
          <w:rFonts w:ascii="Tahoma" w:hAnsi="Tahoma" w:cs="Tahoma"/>
          <w:iCs/>
          <w:noProof/>
          <w:color w:val="auto"/>
          <w:sz w:val="22"/>
          <w:szCs w:val="22"/>
          <w:lang w:val="sr-Cyrl-BA"/>
        </w:rPr>
        <w:t xml:space="preserve">општине </w:t>
      </w:r>
      <w:r w:rsidR="006D605B">
        <w:rPr>
          <w:rFonts w:ascii="Tahoma" w:hAnsi="Tahoma" w:cs="Tahoma"/>
          <w:iCs/>
          <w:noProof/>
          <w:color w:val="auto"/>
          <w:sz w:val="22"/>
          <w:szCs w:val="22"/>
          <w:lang w:val="sr-Cyrl-BA"/>
        </w:rPr>
        <w:t>Смедеревска Паланка</w:t>
      </w:r>
      <w:r w:rsidRPr="008B5ABD">
        <w:rPr>
          <w:rFonts w:ascii="Tahoma" w:hAnsi="Tahoma" w:cs="Tahoma"/>
          <w:iCs/>
          <w:noProof/>
          <w:color w:val="auto"/>
          <w:sz w:val="22"/>
          <w:szCs w:val="22"/>
          <w:lang w:val="sr-Cyrl-BA"/>
        </w:rPr>
        <w:t xml:space="preserve"> – у посматраном периоду од </w:t>
      </w:r>
      <w:r w:rsidR="00405A68" w:rsidRPr="008B5ABD">
        <w:rPr>
          <w:rFonts w:ascii="Tahoma" w:hAnsi="Tahoma" w:cs="Tahoma"/>
          <w:iCs/>
          <w:noProof/>
          <w:color w:val="auto"/>
          <w:sz w:val="22"/>
          <w:szCs w:val="22"/>
          <w:lang w:val="sr-Cyrl-BA"/>
        </w:rPr>
        <w:t>три</w:t>
      </w:r>
      <w:r w:rsidRPr="008B5ABD">
        <w:rPr>
          <w:rFonts w:ascii="Tahoma" w:hAnsi="Tahoma" w:cs="Tahoma"/>
          <w:iCs/>
          <w:noProof/>
          <w:color w:val="auto"/>
          <w:sz w:val="22"/>
          <w:szCs w:val="22"/>
          <w:lang w:val="sr-Cyrl-BA"/>
        </w:rPr>
        <w:t xml:space="preserve"> годин</w:t>
      </w:r>
      <w:bookmarkEnd w:id="1"/>
      <w:r w:rsidR="009866B8">
        <w:rPr>
          <w:rFonts w:ascii="Tahoma" w:hAnsi="Tahoma" w:cs="Tahoma"/>
          <w:iCs/>
          <w:noProof/>
          <w:color w:val="auto"/>
          <w:sz w:val="22"/>
          <w:szCs w:val="22"/>
          <w:lang w:val="sr-Cyrl-BA"/>
        </w:rPr>
        <w:t>е</w:t>
      </w:r>
      <w:r w:rsidR="00405A68" w:rsidRPr="008B5ABD">
        <w:rPr>
          <w:rFonts w:ascii="Tahoma" w:hAnsi="Tahoma" w:cs="Tahoma"/>
          <w:iCs/>
          <w:noProof/>
          <w:color w:val="auto"/>
          <w:sz w:val="22"/>
          <w:szCs w:val="22"/>
          <w:lang w:val="sr-Cyrl-BA"/>
        </w:rPr>
        <w:t xml:space="preserve"> – </w:t>
      </w:r>
      <w:r w:rsidR="00C96E29" w:rsidRPr="008B5ABD">
        <w:rPr>
          <w:rFonts w:ascii="Tahoma" w:hAnsi="Tahoma" w:cs="Tahoma"/>
          <w:iCs/>
          <w:noProof/>
          <w:color w:val="auto"/>
          <w:sz w:val="22"/>
          <w:szCs w:val="22"/>
          <w:lang w:val="sr-Cyrl-BA"/>
        </w:rPr>
        <w:t>може се закључити следеће:</w:t>
      </w:r>
    </w:p>
    <w:p w14:paraId="0E6E83CC" w14:textId="7F1B85EE" w:rsidR="00C96E29" w:rsidRPr="007A264A" w:rsidRDefault="00C96E29" w:rsidP="001317F0">
      <w:pPr>
        <w:pStyle w:val="ListParagraph"/>
        <w:numPr>
          <w:ilvl w:val="0"/>
          <w:numId w:val="31"/>
        </w:numPr>
        <w:spacing w:after="120"/>
        <w:jc w:val="both"/>
        <w:rPr>
          <w:rFonts w:ascii="Tahoma" w:hAnsi="Tahoma" w:cs="Tahoma"/>
          <w:noProof/>
          <w:color w:val="auto"/>
          <w:sz w:val="22"/>
          <w:szCs w:val="22"/>
          <w:lang w:val="sr-Cyrl-BA"/>
        </w:rPr>
      </w:pPr>
      <w:r w:rsidRPr="007A264A">
        <w:rPr>
          <w:rFonts w:ascii="Tahoma" w:hAnsi="Tahoma" w:cs="Tahoma"/>
          <w:noProof/>
          <w:color w:val="auto"/>
          <w:sz w:val="22"/>
          <w:szCs w:val="22"/>
          <w:lang w:val="sr-Cyrl-BA"/>
        </w:rPr>
        <w:t>буџетск</w:t>
      </w:r>
      <w:r w:rsidR="00685ACF" w:rsidRPr="007A264A">
        <w:rPr>
          <w:rFonts w:ascii="Tahoma" w:hAnsi="Tahoma" w:cs="Tahoma"/>
          <w:noProof/>
          <w:color w:val="auto"/>
          <w:sz w:val="22"/>
          <w:szCs w:val="22"/>
          <w:lang w:val="sr-Cyrl-RS"/>
        </w:rPr>
        <w:t>и</w:t>
      </w:r>
      <w:r w:rsidRPr="007A264A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програм</w:t>
      </w:r>
      <w:r w:rsidR="000A2E35" w:rsidRPr="007A264A">
        <w:rPr>
          <w:rFonts w:ascii="Tahoma" w:hAnsi="Tahoma" w:cs="Tahoma"/>
          <w:noProof/>
          <w:color w:val="auto"/>
          <w:sz w:val="22"/>
          <w:szCs w:val="22"/>
          <w:lang w:val="sr-Cyrl-BA"/>
        </w:rPr>
        <w:t>и</w:t>
      </w:r>
      <w:r w:rsidR="00202402" w:rsidRPr="007A264A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3C049C" w:rsidRPr="00E952F3">
        <w:rPr>
          <w:rFonts w:ascii="Tahoma" w:hAnsi="Tahoma" w:cs="Tahoma"/>
          <w:noProof/>
          <w:color w:val="auto"/>
          <w:sz w:val="22"/>
          <w:szCs w:val="22"/>
          <w:lang w:val="sr-Cyrl-BA"/>
        </w:rPr>
        <w:t>10 – Средње образовање</w:t>
      </w:r>
      <w:r w:rsidR="003C049C">
        <w:rPr>
          <w:rFonts w:ascii="Tahoma" w:hAnsi="Tahoma" w:cs="Tahoma"/>
          <w:noProof/>
          <w:color w:val="auto"/>
          <w:sz w:val="22"/>
          <w:szCs w:val="22"/>
          <w:lang w:val="en-US"/>
        </w:rPr>
        <w:t>,</w:t>
      </w:r>
      <w:r w:rsidR="003C049C" w:rsidRPr="00E952F3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3C049C" w:rsidRPr="007A264A">
        <w:rPr>
          <w:rFonts w:ascii="Tahoma" w:hAnsi="Tahoma" w:cs="Tahoma"/>
          <w:noProof/>
          <w:color w:val="auto"/>
          <w:sz w:val="22"/>
          <w:szCs w:val="22"/>
          <w:lang w:val="sr-Cyrl-BA"/>
        </w:rPr>
        <w:t>12 – Здравствена заштита</w:t>
      </w:r>
      <w:r w:rsidR="003C049C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и</w:t>
      </w:r>
      <w:r w:rsidR="003C049C" w:rsidRPr="003363D4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3C049C" w:rsidRPr="00A828F4">
        <w:rPr>
          <w:rFonts w:ascii="Tahoma" w:hAnsi="Tahoma" w:cs="Tahoma"/>
          <w:noProof/>
          <w:color w:val="auto"/>
          <w:sz w:val="22"/>
          <w:szCs w:val="22"/>
          <w:lang w:val="sr-Cyrl-BA"/>
        </w:rPr>
        <w:t>14 – Развој спорта и омладине</w:t>
      </w:r>
      <w:r w:rsidR="003C049C" w:rsidRPr="002B0556">
        <w:rPr>
          <w:rFonts w:ascii="Tahoma" w:hAnsi="Tahoma" w:cs="Tahoma"/>
          <w:noProof/>
          <w:color w:val="FF0000"/>
          <w:sz w:val="22"/>
          <w:szCs w:val="22"/>
          <w:lang w:val="sr-Cyrl-BA"/>
        </w:rPr>
        <w:t xml:space="preserve"> </w:t>
      </w:r>
      <w:r w:rsidR="007C74E2" w:rsidRPr="007A264A">
        <w:rPr>
          <w:rFonts w:ascii="Tahoma" w:hAnsi="Tahoma" w:cs="Tahoma"/>
          <w:noProof/>
          <w:color w:val="auto"/>
          <w:sz w:val="22"/>
          <w:szCs w:val="22"/>
          <w:lang w:val="sr-Cyrl-BA"/>
        </w:rPr>
        <w:t>одговара</w:t>
      </w:r>
      <w:r w:rsidR="000A2E35" w:rsidRPr="007A264A">
        <w:rPr>
          <w:rFonts w:ascii="Tahoma" w:hAnsi="Tahoma" w:cs="Tahoma"/>
          <w:noProof/>
          <w:color w:val="auto"/>
          <w:sz w:val="22"/>
          <w:szCs w:val="22"/>
          <w:lang w:val="sr-Cyrl-BA"/>
        </w:rPr>
        <w:t>ју</w:t>
      </w:r>
      <w:r w:rsidR="007C74E2" w:rsidRPr="007A264A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просеку извршења </w:t>
      </w:r>
      <w:r w:rsidR="00A828F4" w:rsidRPr="007A264A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појединих </w:t>
      </w:r>
      <w:r w:rsidR="000A2E35" w:rsidRPr="007A264A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буџетских </w:t>
      </w:r>
      <w:r w:rsidR="007C74E2" w:rsidRPr="007A264A">
        <w:rPr>
          <w:rFonts w:ascii="Tahoma" w:hAnsi="Tahoma" w:cs="Tahoma"/>
          <w:noProof/>
          <w:color w:val="auto"/>
          <w:sz w:val="22"/>
          <w:szCs w:val="22"/>
          <w:lang w:val="sr-Cyrl-BA"/>
        </w:rPr>
        <w:t>програ</w:t>
      </w:r>
      <w:r w:rsidR="00A828F4" w:rsidRPr="007A264A">
        <w:rPr>
          <w:rFonts w:ascii="Tahoma" w:hAnsi="Tahoma" w:cs="Tahoma"/>
          <w:noProof/>
          <w:color w:val="auto"/>
          <w:sz w:val="22"/>
          <w:szCs w:val="22"/>
          <w:lang w:val="sr-Cyrl-BA"/>
        </w:rPr>
        <w:t>ма</w:t>
      </w:r>
      <w:r w:rsidR="00202402" w:rsidRPr="007A264A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7C74E2" w:rsidRPr="007A264A">
        <w:rPr>
          <w:rFonts w:ascii="Tahoma" w:hAnsi="Tahoma" w:cs="Tahoma"/>
          <w:noProof/>
          <w:color w:val="auto"/>
          <w:sz w:val="22"/>
          <w:szCs w:val="22"/>
          <w:lang w:val="sr-Cyrl-BA"/>
        </w:rPr>
        <w:t>у односу на већи број локалних самоуправа у Републици Србији,</w:t>
      </w:r>
    </w:p>
    <w:p w14:paraId="7505D21E" w14:textId="77777777" w:rsidR="007A6104" w:rsidRPr="007A6104" w:rsidRDefault="007C74E2" w:rsidP="00643319">
      <w:pPr>
        <w:pStyle w:val="ListParagraph"/>
        <w:numPr>
          <w:ilvl w:val="0"/>
          <w:numId w:val="31"/>
        </w:numPr>
        <w:spacing w:after="120"/>
        <w:jc w:val="both"/>
        <w:rPr>
          <w:rFonts w:ascii="Tahoma" w:hAnsi="Tahoma" w:cs="Tahoma"/>
          <w:noProof/>
          <w:color w:val="auto"/>
          <w:lang w:val="sr-Cyrl-BA"/>
        </w:rPr>
      </w:pPr>
      <w:r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lastRenderedPageBreak/>
        <w:t xml:space="preserve">буџетски програми, као што су </w:t>
      </w:r>
      <w:r w:rsidR="001317F0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>програм</w:t>
      </w:r>
      <w:r w:rsidR="00F314B7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>и</w:t>
      </w:r>
      <w:r w:rsidR="001317F0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CA34D9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1 – Становање, урбанизам и просторно планирање, </w:t>
      </w:r>
      <w:r w:rsidR="00593175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2 – Комуналне делатности, </w:t>
      </w:r>
      <w:r w:rsidR="00904E3D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>5 – Пољопривреда и рурални развој, 6 – Заштита животне средине</w:t>
      </w:r>
      <w:r w:rsidR="00904E3D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>,</w:t>
      </w:r>
      <w:r w:rsidR="00014F62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EF294E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>7 – Организација саобраћаја и саобраћајна инфраструктура</w:t>
      </w:r>
      <w:r w:rsidR="00AA0092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F314B7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>и програм</w:t>
      </w:r>
      <w:r w:rsidR="00A828F4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CA34D9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>11 – Социјална и дечија заштита</w:t>
      </w:r>
      <w:r w:rsidR="00A828F4" w:rsidRPr="00AA0092">
        <w:rPr>
          <w:rFonts w:ascii="Tahoma" w:hAnsi="Tahoma" w:cs="Tahoma"/>
          <w:noProof/>
          <w:color w:val="auto"/>
          <w:sz w:val="22"/>
          <w:szCs w:val="22"/>
          <w:lang w:val="en-US"/>
        </w:rPr>
        <w:t xml:space="preserve"> </w:t>
      </w:r>
      <w:r w:rsidR="00A828F4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>са својим учешћем у укупно извршеним расходима и издацима буџета општине,</w:t>
      </w:r>
      <w:r w:rsidR="00593175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1945E1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>негативно одступају од просека извршења наведених буџетских програма у односу на већину ЈЛС у Србији</w:t>
      </w:r>
      <w:r w:rsidR="003363D4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>,</w:t>
      </w:r>
    </w:p>
    <w:p w14:paraId="2249F592" w14:textId="4173D6BF" w:rsidR="00A7247D" w:rsidRPr="00AA0092" w:rsidRDefault="00266770" w:rsidP="00643319">
      <w:pPr>
        <w:pStyle w:val="ListParagraph"/>
        <w:numPr>
          <w:ilvl w:val="0"/>
          <w:numId w:val="31"/>
        </w:numPr>
        <w:spacing w:after="120"/>
        <w:jc w:val="both"/>
        <w:rPr>
          <w:rFonts w:ascii="Tahoma" w:hAnsi="Tahoma" w:cs="Tahoma"/>
          <w:noProof/>
          <w:color w:val="auto"/>
          <w:lang w:val="sr-Cyrl-BA"/>
        </w:rPr>
      </w:pPr>
      <w:r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>позитивно одступање у односу на просечно извршење програма бележи се код буџетских програма</w:t>
      </w:r>
      <w:r w:rsidR="005B67E2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AA0092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8 – Предшколско васпитање и програм </w:t>
      </w:r>
      <w:r w:rsidR="00617BF3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9 – Основно образовање, </w:t>
      </w:r>
      <w:r w:rsidR="00962269" w:rsidRPr="00AA0092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150773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>13 – Развој културе и информисања</w:t>
      </w:r>
      <w:r w:rsidR="00150773" w:rsidRPr="00AA0092">
        <w:rPr>
          <w:rFonts w:ascii="Tahoma" w:hAnsi="Tahoma" w:cs="Tahoma"/>
          <w:noProof/>
          <w:color w:val="auto"/>
          <w:sz w:val="22"/>
          <w:szCs w:val="22"/>
          <w:lang w:val="en-US"/>
        </w:rPr>
        <w:t>,</w:t>
      </w:r>
      <w:r w:rsidR="00593175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3D0C63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>1</w:t>
      </w:r>
      <w:r w:rsidR="00342090">
        <w:rPr>
          <w:rFonts w:ascii="Tahoma" w:hAnsi="Tahoma" w:cs="Tahoma"/>
          <w:noProof/>
          <w:color w:val="auto"/>
          <w:sz w:val="22"/>
          <w:szCs w:val="22"/>
          <w:lang w:val="sr-Cyrl-BA"/>
        </w:rPr>
        <w:t>5</w:t>
      </w:r>
      <w:r w:rsidR="003D0C63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– </w:t>
      </w:r>
      <w:r w:rsidR="00ED75AD">
        <w:rPr>
          <w:rFonts w:ascii="Tahoma" w:hAnsi="Tahoma" w:cs="Tahoma"/>
          <w:noProof/>
          <w:color w:val="auto"/>
          <w:sz w:val="22"/>
          <w:szCs w:val="22"/>
          <w:lang w:val="sr-Cyrl-BA"/>
        </w:rPr>
        <w:t>Опште услуге локалне самоуправе</w:t>
      </w:r>
      <w:r w:rsidR="003D0C63" w:rsidRPr="00AA0092">
        <w:rPr>
          <w:rFonts w:ascii="Tahoma" w:hAnsi="Tahoma" w:cs="Tahoma"/>
          <w:noProof/>
          <w:color w:val="FF0000"/>
          <w:sz w:val="22"/>
          <w:szCs w:val="22"/>
          <w:lang w:val="sr-Cyrl-BA"/>
        </w:rPr>
        <w:t xml:space="preserve"> </w:t>
      </w:r>
      <w:r w:rsidR="00832914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>и</w:t>
      </w:r>
      <w:r w:rsidR="00D50976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B54991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програма </w:t>
      </w:r>
      <w:r w:rsidR="00542249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>16 – Политички систем локалне самоуправе</w:t>
      </w:r>
      <w:r w:rsidR="005B1192" w:rsidRPr="00AA0092">
        <w:rPr>
          <w:rFonts w:ascii="Tahoma" w:hAnsi="Tahoma" w:cs="Tahoma"/>
          <w:noProof/>
          <w:color w:val="auto"/>
          <w:sz w:val="22"/>
          <w:szCs w:val="22"/>
          <w:lang w:val="sr-Cyrl-BA"/>
        </w:rPr>
        <w:t>, а</w:t>
      </w:r>
    </w:p>
    <w:p w14:paraId="066BBE8B" w14:textId="460F8ADE" w:rsidR="00685ACF" w:rsidRPr="00E952F3" w:rsidRDefault="00E952F3" w:rsidP="006261E7">
      <w:pPr>
        <w:pStyle w:val="ListParagraph"/>
        <w:numPr>
          <w:ilvl w:val="0"/>
          <w:numId w:val="31"/>
        </w:numPr>
        <w:spacing w:after="120"/>
        <w:jc w:val="both"/>
        <w:rPr>
          <w:rFonts w:ascii="Tahoma" w:hAnsi="Tahoma" w:cs="Tahoma"/>
          <w:noProof/>
          <w:color w:val="auto"/>
          <w:lang w:val="sr-Cyrl-BA"/>
        </w:rPr>
      </w:pPr>
      <w:r w:rsidRPr="00E952F3">
        <w:rPr>
          <w:rFonts w:ascii="Tahoma" w:hAnsi="Tahoma" w:cs="Tahoma"/>
          <w:noProof/>
          <w:color w:val="auto"/>
          <w:sz w:val="22"/>
          <w:szCs w:val="22"/>
          <w:lang w:val="sr-Cyrl-BA"/>
        </w:rPr>
        <w:t>н</w:t>
      </w:r>
      <w:r w:rsidR="00A7247D" w:rsidRPr="00E952F3">
        <w:rPr>
          <w:rFonts w:ascii="Tahoma" w:hAnsi="Tahoma" w:cs="Tahoma"/>
          <w:noProof/>
          <w:color w:val="auto"/>
          <w:sz w:val="22"/>
          <w:szCs w:val="22"/>
          <w:lang w:val="sr-Cyrl-BA"/>
        </w:rPr>
        <w:t>и</w:t>
      </w:r>
      <w:r w:rsidR="005B1192">
        <w:rPr>
          <w:rFonts w:ascii="Tahoma" w:hAnsi="Tahoma" w:cs="Tahoma"/>
          <w:noProof/>
          <w:color w:val="auto"/>
          <w:sz w:val="22"/>
          <w:szCs w:val="22"/>
          <w:lang w:val="sr-Cyrl-BA"/>
        </w:rPr>
        <w:t>су</w:t>
      </w:r>
      <w:r w:rsidR="00A7247D" w:rsidRPr="00E952F3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планиран</w:t>
      </w:r>
      <w:r w:rsidR="005B1192">
        <w:rPr>
          <w:rFonts w:ascii="Tahoma" w:hAnsi="Tahoma" w:cs="Tahoma"/>
          <w:noProof/>
          <w:color w:val="auto"/>
          <w:sz w:val="22"/>
          <w:szCs w:val="22"/>
          <w:lang w:val="sr-Cyrl-BA"/>
        </w:rPr>
        <w:t>и</w:t>
      </w:r>
      <w:r w:rsidR="00A7247D" w:rsidRPr="00E952F3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нити извршавани расходи у </w:t>
      </w:r>
      <w:r w:rsidR="005B1192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оквирима </w:t>
      </w:r>
      <w:r w:rsidR="00A7247D" w:rsidRPr="00E952F3">
        <w:rPr>
          <w:rFonts w:ascii="Tahoma" w:hAnsi="Tahoma" w:cs="Tahoma"/>
          <w:noProof/>
          <w:color w:val="auto"/>
          <w:sz w:val="22"/>
          <w:szCs w:val="22"/>
          <w:lang w:val="sr-Cyrl-BA"/>
        </w:rPr>
        <w:t>буџетск</w:t>
      </w:r>
      <w:r w:rsidR="005B1192">
        <w:rPr>
          <w:rFonts w:ascii="Tahoma" w:hAnsi="Tahoma" w:cs="Tahoma"/>
          <w:noProof/>
          <w:color w:val="auto"/>
          <w:sz w:val="22"/>
          <w:szCs w:val="22"/>
          <w:lang w:val="sr-Cyrl-BA"/>
        </w:rPr>
        <w:t>ог</w:t>
      </w:r>
      <w:r w:rsidR="00A7247D" w:rsidRPr="00E952F3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програм</w:t>
      </w:r>
      <w:r w:rsidR="005B1192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а </w:t>
      </w:r>
      <w:r w:rsidR="00014F62" w:rsidRPr="007A264A">
        <w:rPr>
          <w:rFonts w:ascii="Tahoma" w:hAnsi="Tahoma" w:cs="Tahoma"/>
          <w:noProof/>
          <w:color w:val="auto"/>
          <w:sz w:val="22"/>
          <w:szCs w:val="22"/>
          <w:lang w:val="sr-Cyrl-BA"/>
        </w:rPr>
        <w:t>3 – Локални економски развој</w:t>
      </w:r>
      <w:r w:rsidR="00014F62" w:rsidRPr="007A264A">
        <w:rPr>
          <w:rFonts w:ascii="Tahoma" w:hAnsi="Tahoma" w:cs="Tahoma"/>
          <w:noProof/>
          <w:color w:val="auto"/>
          <w:sz w:val="22"/>
          <w:szCs w:val="22"/>
          <w:lang w:val="hu-HU"/>
        </w:rPr>
        <w:t xml:space="preserve">, </w:t>
      </w:r>
      <w:r w:rsidR="00014F62" w:rsidRPr="003363D4">
        <w:rPr>
          <w:rFonts w:ascii="Tahoma" w:hAnsi="Tahoma" w:cs="Tahoma"/>
          <w:noProof/>
          <w:color w:val="auto"/>
          <w:sz w:val="22"/>
          <w:szCs w:val="22"/>
          <w:lang w:val="sr-Cyrl-BA"/>
        </w:rPr>
        <w:t>4 – Развој туризма</w:t>
      </w:r>
      <w:r w:rsidR="00014F62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и</w:t>
      </w:r>
      <w:r w:rsidR="00014F62" w:rsidRPr="007A264A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685ACF" w:rsidRPr="00E952F3">
        <w:rPr>
          <w:rFonts w:ascii="Tahoma" w:hAnsi="Tahoma" w:cs="Tahoma"/>
          <w:noProof/>
          <w:color w:val="auto"/>
          <w:sz w:val="22"/>
          <w:szCs w:val="22"/>
          <w:lang w:val="sr-Cyrl-BA"/>
        </w:rPr>
        <w:t>17 – Енергетска ефикасност и обновљиви извори енергије</w:t>
      </w:r>
      <w:r w:rsidR="0072668B" w:rsidRPr="00E952F3">
        <w:rPr>
          <w:rFonts w:ascii="Tahoma" w:hAnsi="Tahoma" w:cs="Tahoma"/>
          <w:noProof/>
          <w:color w:val="auto"/>
          <w:sz w:val="22"/>
          <w:szCs w:val="22"/>
          <w:lang w:val="sr-Cyrl-BA"/>
        </w:rPr>
        <w:t>.</w:t>
      </w:r>
    </w:p>
    <w:p w14:paraId="6BAAB6D1" w14:textId="584E6120" w:rsidR="00542249" w:rsidRPr="00542249" w:rsidRDefault="007A6104" w:rsidP="00542249">
      <w:pPr>
        <w:pStyle w:val="ListParagraph"/>
        <w:spacing w:after="120"/>
        <w:jc w:val="both"/>
        <w:rPr>
          <w:rFonts w:ascii="Tahoma" w:hAnsi="Tahoma" w:cs="Tahoma"/>
          <w:noProof/>
          <w:color w:val="00B0F0"/>
          <w:lang w:val="sr-Cyrl-BA"/>
        </w:rPr>
      </w:pPr>
      <w:r w:rsidRPr="003363D4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mc:AlternateContent>
          <mc:Choice Requires="wps">
            <w:drawing>
              <wp:anchor distT="91440" distB="91440" distL="114300" distR="114300" simplePos="0" relativeHeight="251666432" behindDoc="0" locked="0" layoutInCell="1" allowOverlap="1" wp14:anchorId="4C54AB42" wp14:editId="54ADA177">
                <wp:simplePos x="0" y="0"/>
                <wp:positionH relativeFrom="margin">
                  <wp:posOffset>55343</wp:posOffset>
                </wp:positionH>
                <wp:positionV relativeFrom="paragraph">
                  <wp:posOffset>99206</wp:posOffset>
                </wp:positionV>
                <wp:extent cx="5943600" cy="1536700"/>
                <wp:effectExtent l="0" t="0" r="19050" b="2540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3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511FB" w14:textId="59148A57" w:rsidR="00846642" w:rsidRPr="00495694" w:rsidRDefault="00846642" w:rsidP="00846642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Индикатори за потребе израде анализе стања и праћења достизања циљева одрживог развоја – 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програмски</w:t>
                            </w: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буџет </w:t>
                            </w:r>
                            <w:r w:rsidR="00F408FD"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општине</w:t>
                            </w: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669FD001" w14:textId="105D8327" w:rsidR="00846642" w:rsidRPr="00495694" w:rsidRDefault="00846642" w:rsidP="00846642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Релативно учешће 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појединих буџетских програма (1-17) у укупним планираним расходима и издацима буџета </w:t>
                            </w:r>
                            <w:r w:rsidR="00F408FD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општине</w:t>
                            </w:r>
                          </w:p>
                          <w:p w14:paraId="4BAB4511" w14:textId="6499FA12" w:rsidR="00846642" w:rsidRPr="00495694" w:rsidRDefault="00846642" w:rsidP="00846642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2. Релативно учешће 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појединих буџетских програма (1-17) у укупним </w:t>
                            </w:r>
                            <w:r w:rsidR="001A1083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извршеним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расходима и издацима буџета </w:t>
                            </w:r>
                            <w:r w:rsidR="00F408FD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општине</w:t>
                            </w:r>
                          </w:p>
                          <w:p w14:paraId="1BFBA017" w14:textId="048568DB" w:rsidR="00846642" w:rsidRPr="00495694" w:rsidRDefault="00846642" w:rsidP="00846642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CE1799" w14:textId="77777777" w:rsidR="00846642" w:rsidRPr="00495694" w:rsidRDefault="00846642" w:rsidP="00846642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5B9BD5" w:themeColor="accent1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D6C4F61" w14:textId="77777777" w:rsidR="00846642" w:rsidRPr="00495694" w:rsidRDefault="00846642" w:rsidP="00846642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4AB42" id="_x0000_s1030" type="#_x0000_t202" style="position:absolute;left:0;text-align:left;margin-left:4.35pt;margin-top:7.8pt;width:468pt;height:121pt;z-index:2516664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" fillcolor="white [3201]" strokecolor="#2f5496 [2408]" strokeweight="1pt">
                <v:textbox>
                  <w:txbxContent>
                    <w:p w14:paraId="7C5511FB" w14:textId="59148A57" w:rsidR="00846642" w:rsidRPr="00495694" w:rsidRDefault="00846642" w:rsidP="00846642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Индикатори за потребе израде анализе стања и праћења достизања циљева одрживог развоја – </w:t>
                      </w:r>
                      <w:r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програмски</w:t>
                      </w:r>
                      <w:r w:rsidRPr="00495694"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буџет </w:t>
                      </w:r>
                      <w:r w:rsidR="00F408FD"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општине</w:t>
                      </w: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669FD001" w14:textId="105D8327" w:rsidR="00846642" w:rsidRPr="00495694" w:rsidRDefault="00846642" w:rsidP="00846642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Релативно учешће 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појединих буџетских програма (1-17) у укупним планираним расходима и издацима буџета </w:t>
                      </w:r>
                      <w:r w:rsidR="00F408FD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општине</w:t>
                      </w:r>
                    </w:p>
                    <w:p w14:paraId="4BAB4511" w14:textId="6499FA12" w:rsidR="00846642" w:rsidRPr="00495694" w:rsidRDefault="00846642" w:rsidP="00846642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2. Релативно учешће 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појединих буџетских програма (1-17) у укупним </w:t>
                      </w:r>
                      <w:r w:rsidR="001A1083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извршеним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расходима и издацима буџета </w:t>
                      </w:r>
                      <w:r w:rsidR="00F408FD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општине</w:t>
                      </w:r>
                    </w:p>
                    <w:p w14:paraId="1BFBA017" w14:textId="048568DB" w:rsidR="00846642" w:rsidRPr="00495694" w:rsidRDefault="00846642" w:rsidP="00846642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CE1799" w14:textId="77777777" w:rsidR="00846642" w:rsidRPr="00495694" w:rsidRDefault="00846642" w:rsidP="00846642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5B9BD5" w:themeColor="accent1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D6C4F61" w14:textId="77777777" w:rsidR="00846642" w:rsidRPr="00495694" w:rsidRDefault="00846642" w:rsidP="00846642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7B65DE2" w14:textId="0C55F2C0" w:rsidR="003247E5" w:rsidRPr="00F67578" w:rsidRDefault="00F67578" w:rsidP="00F67578">
      <w:pPr>
        <w:pStyle w:val="Heading3"/>
        <w:rPr>
          <w:rFonts w:ascii="Tahoma" w:hAnsi="Tahoma" w:cs="Tahoma"/>
          <w:b/>
          <w:bCs/>
          <w:noProof/>
          <w:lang w:val="sr-Cyrl-BA"/>
        </w:rPr>
      </w:pPr>
      <w:r w:rsidRPr="00F67578">
        <w:rPr>
          <w:rFonts w:ascii="Tahoma" w:hAnsi="Tahoma" w:cs="Tahoma"/>
          <w:b/>
          <w:bCs/>
          <w:noProof/>
          <w:lang w:val="en-US"/>
        </w:rPr>
        <w:t xml:space="preserve">3.2. </w:t>
      </w:r>
      <w:r w:rsidRPr="00F67578">
        <w:rPr>
          <w:rFonts w:ascii="Tahoma" w:hAnsi="Tahoma" w:cs="Tahoma"/>
          <w:b/>
          <w:bCs/>
          <w:noProof/>
          <w:lang w:val="sr-Cyrl-RS"/>
        </w:rPr>
        <w:t>Функционална класификација</w:t>
      </w:r>
      <w:r w:rsidR="003247E5" w:rsidRPr="00F67578">
        <w:rPr>
          <w:rFonts w:ascii="Tahoma" w:hAnsi="Tahoma" w:cs="Tahoma"/>
          <w:b/>
          <w:bCs/>
          <w:noProof/>
          <w:lang w:val="sr-Cyrl-BA"/>
        </w:rPr>
        <w:t xml:space="preserve"> </w:t>
      </w:r>
    </w:p>
    <w:p w14:paraId="0FDF52B2" w14:textId="14A3D338" w:rsidR="00FE166D" w:rsidRDefault="00FE166D" w:rsidP="00FA547A">
      <w:pPr>
        <w:spacing w:after="120"/>
        <w:jc w:val="both"/>
        <w:rPr>
          <w:rFonts w:ascii="Tahoma" w:hAnsi="Tahoma" w:cs="Tahoma"/>
          <w:iCs/>
          <w:noProof/>
          <w:sz w:val="20"/>
          <w:szCs w:val="20"/>
          <w:lang w:val="sr-Cyrl-BA"/>
        </w:rPr>
      </w:pPr>
    </w:p>
    <w:p w14:paraId="334F05F5" w14:textId="3D6CA866" w:rsidR="00F67578" w:rsidRPr="00FE1BE4" w:rsidRDefault="00F67578" w:rsidP="00FE1BE4">
      <w:pPr>
        <w:spacing w:after="160" w:line="259" w:lineRule="auto"/>
        <w:jc w:val="both"/>
        <w:rPr>
          <w:rFonts w:ascii="Tahoma" w:eastAsia="Calibri" w:hAnsi="Tahoma" w:cs="Tahoma"/>
          <w:iCs/>
          <w:noProof/>
          <w:sz w:val="22"/>
          <w:szCs w:val="22"/>
          <w:lang w:val="sr-Cyrl-RS"/>
        </w:rPr>
      </w:pPr>
      <w:r w:rsidRPr="00D17F6D">
        <w:rPr>
          <w:rFonts w:ascii="Tahoma" w:eastAsia="Calibri" w:hAnsi="Tahoma" w:cs="Tahoma"/>
          <w:b/>
          <w:bCs/>
          <w:noProof/>
          <w:color w:val="auto"/>
          <w:sz w:val="22"/>
          <w:szCs w:val="22"/>
          <w:lang w:val="sr-Cyrl-RS"/>
        </w:rPr>
        <w:t xml:space="preserve">Функционална класификација расхода буџета </w:t>
      </w:r>
      <w:r w:rsidR="00C37A18">
        <w:rPr>
          <w:rFonts w:ascii="Tahoma" w:eastAsia="Calibri" w:hAnsi="Tahoma" w:cs="Tahoma"/>
          <w:b/>
          <w:bCs/>
          <w:noProof/>
          <w:color w:val="auto"/>
          <w:sz w:val="22"/>
          <w:szCs w:val="22"/>
          <w:lang w:val="sr-Cyrl-RS"/>
        </w:rPr>
        <w:t xml:space="preserve">општине </w:t>
      </w:r>
      <w:r w:rsidR="00EF2D57">
        <w:rPr>
          <w:rFonts w:ascii="Tahoma" w:eastAsia="Calibri" w:hAnsi="Tahoma" w:cs="Tahoma"/>
          <w:b/>
          <w:bCs/>
          <w:noProof/>
          <w:color w:val="auto"/>
          <w:sz w:val="22"/>
          <w:szCs w:val="22"/>
          <w:lang w:val="sr-Cyrl-RS"/>
        </w:rPr>
        <w:t>Смедеревска Паланка</w:t>
      </w:r>
      <w:r w:rsidRPr="00D17F6D">
        <w:rPr>
          <w:rFonts w:ascii="Tahoma" w:eastAsia="Calibri" w:hAnsi="Tahoma" w:cs="Tahoma"/>
          <w:b/>
          <w:bCs/>
          <w:noProof/>
          <w:color w:val="auto"/>
          <w:sz w:val="22"/>
          <w:szCs w:val="22"/>
          <w:lang w:val="sr-Cyrl-RS"/>
        </w:rPr>
        <w:t xml:space="preserve"> исказује издатке по функционалној намени за одређену област и независна је од организације која ту функцију спроводи.</w:t>
      </w:r>
      <w:r w:rsidRPr="00D17F6D">
        <w:rPr>
          <w:rFonts w:ascii="Tahoma" w:eastAsia="Calibri" w:hAnsi="Tahoma" w:cs="Tahoma"/>
          <w:noProof/>
          <w:color w:val="auto"/>
          <w:sz w:val="22"/>
          <w:szCs w:val="22"/>
          <w:lang w:val="sr-Cyrl-RS"/>
        </w:rPr>
        <w:t xml:space="preserve"> Према </w:t>
      </w:r>
      <w:r w:rsidRPr="00D17F6D">
        <w:rPr>
          <w:rFonts w:ascii="Tahoma" w:eastAsia="Calibri" w:hAnsi="Tahoma" w:cs="Tahoma"/>
          <w:iCs/>
          <w:noProof/>
          <w:color w:val="auto"/>
          <w:sz w:val="22"/>
          <w:szCs w:val="22"/>
          <w:lang w:val="sr-Cyrl-RS"/>
        </w:rPr>
        <w:t xml:space="preserve">Правилнику о стандардном класификационом оквиру и </w:t>
      </w:r>
      <w:r w:rsidRPr="00FE1BE4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>контном плану за буџетски систем</w:t>
      </w:r>
      <w:r w:rsidRPr="00FE1BE4">
        <w:rPr>
          <w:rFonts w:ascii="Tahoma" w:eastAsia="Calibri" w:hAnsi="Tahoma" w:cs="Tahoma"/>
          <w:noProof/>
          <w:sz w:val="22"/>
          <w:szCs w:val="22"/>
          <w:vertAlign w:val="superscript"/>
          <w:lang w:val="sr-Cyrl-RS"/>
        </w:rPr>
        <w:footnoteReference w:id="10"/>
      </w:r>
      <w:r w:rsidRPr="00FE1BE4">
        <w:rPr>
          <w:rFonts w:ascii="Tahoma" w:eastAsia="Calibri" w:hAnsi="Tahoma" w:cs="Tahoma"/>
          <w:i/>
          <w:noProof/>
          <w:sz w:val="22"/>
          <w:szCs w:val="22"/>
          <w:lang w:val="sr-Cyrl-RS"/>
        </w:rPr>
        <w:t>,</w:t>
      </w:r>
      <w:r w:rsidRPr="00FE1BE4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 </w:t>
      </w:r>
      <w:r w:rsidRPr="00FE1BE4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 xml:space="preserve">корисник средстава може обављати активности у оквиру једне или више функција, а када се ради о јединицама локалне самоуправе, онда те функције се изводе из њихових надлежности утврђеним према члану 20. Закона о локалној самоуправи. </w:t>
      </w:r>
    </w:p>
    <w:p w14:paraId="61D65DD2" w14:textId="52FE7DB7" w:rsidR="00F03541" w:rsidRPr="007D70BD" w:rsidRDefault="00F67578" w:rsidP="00A73611">
      <w:pPr>
        <w:spacing w:after="160" w:line="254" w:lineRule="auto"/>
        <w:jc w:val="both"/>
        <w:rPr>
          <w:rFonts w:ascii="Tahoma" w:eastAsia="Calibri" w:hAnsi="Tahoma" w:cs="Tahoma"/>
          <w:iCs/>
          <w:noProof/>
          <w:sz w:val="22"/>
          <w:szCs w:val="22"/>
          <w:lang w:val="sr-Cyrl-RS"/>
        </w:rPr>
      </w:pPr>
      <w:r w:rsidRPr="00FE1BE4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 xml:space="preserve">Гледајући кроз призму анализе извршења буџета </w:t>
      </w:r>
      <w:r w:rsidR="00C37A18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 xml:space="preserve">општине </w:t>
      </w:r>
      <w:r w:rsidR="00EF2D57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>Смедеревска Паланка</w:t>
      </w:r>
      <w:r w:rsidRPr="00FE1BE4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 xml:space="preserve">, према њеним надлежностима и заступљеним функционалним класификационим категоријама и класама, у временском интервалу – буџетским годинама </w:t>
      </w:r>
      <w:r w:rsidR="00FE1BE4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>2019-2021</w:t>
      </w:r>
      <w:r w:rsidRPr="00FE1BE4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 xml:space="preserve">, представљена су утрошена буџетска средства за поједине функције по годинама анализе. Преглед тренда финансирања појединих функција из буџета </w:t>
      </w:r>
      <w:r w:rsidR="00C37A18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 xml:space="preserve">општине </w:t>
      </w:r>
      <w:r w:rsidR="00E06277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>Смедеревска Паланка</w:t>
      </w:r>
      <w:r w:rsidRPr="00FE1BE4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 xml:space="preserve"> у предметном временском интервалу показује табеларни приказ</w:t>
      </w:r>
      <w:r w:rsidR="00FE1BE4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 xml:space="preserve"> бр. 3. </w:t>
      </w:r>
    </w:p>
    <w:p w14:paraId="7FE91F06" w14:textId="2882877B" w:rsidR="00A73611" w:rsidRDefault="005A7593" w:rsidP="00A73611">
      <w:pPr>
        <w:spacing w:after="160" w:line="254" w:lineRule="auto"/>
        <w:jc w:val="both"/>
        <w:rPr>
          <w:rFonts w:ascii="Tahoma" w:hAnsi="Tahoma" w:cs="Tahoma"/>
          <w:bCs/>
          <w:iCs/>
          <w:sz w:val="22"/>
          <w:szCs w:val="22"/>
          <w:lang w:val="sr-Cyrl-BA"/>
        </w:rPr>
      </w:pPr>
      <w:r w:rsidRPr="00236987">
        <w:rPr>
          <w:rFonts w:ascii="Tahoma" w:hAnsi="Tahoma" w:cs="Tahoma"/>
          <w:b/>
          <w:iCs/>
          <w:sz w:val="22"/>
          <w:szCs w:val="22"/>
          <w:lang w:val="sr-Cyrl-BA"/>
        </w:rPr>
        <w:lastRenderedPageBreak/>
        <w:t xml:space="preserve">Табела бр. </w:t>
      </w:r>
      <w:r>
        <w:rPr>
          <w:rFonts w:ascii="Tahoma" w:hAnsi="Tahoma" w:cs="Tahoma"/>
          <w:b/>
          <w:iCs/>
          <w:sz w:val="22"/>
          <w:szCs w:val="22"/>
          <w:lang w:val="sr-Cyrl-BA"/>
        </w:rPr>
        <w:t>3</w:t>
      </w:r>
      <w:r w:rsidRPr="00236987">
        <w:rPr>
          <w:rFonts w:ascii="Tahoma" w:hAnsi="Tahoma" w:cs="Tahoma"/>
          <w:b/>
          <w:iCs/>
          <w:sz w:val="22"/>
          <w:szCs w:val="22"/>
          <w:lang w:val="sr-Cyrl-BA"/>
        </w:rPr>
        <w:t>.</w:t>
      </w:r>
      <w:r w:rsidRPr="00236987">
        <w:rPr>
          <w:rFonts w:ascii="Tahoma" w:hAnsi="Tahoma" w:cs="Tahoma"/>
          <w:bCs/>
          <w:iCs/>
          <w:sz w:val="22"/>
          <w:szCs w:val="22"/>
          <w:lang w:val="sr-Cyrl-BA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  <w:lang w:val="sr-Cyrl-BA"/>
        </w:rPr>
        <w:t>Преглед финансирања функција из</w:t>
      </w:r>
      <w:r w:rsidRPr="00236987">
        <w:rPr>
          <w:rFonts w:ascii="Tahoma" w:hAnsi="Tahoma" w:cs="Tahoma"/>
          <w:bCs/>
          <w:iCs/>
          <w:sz w:val="22"/>
          <w:szCs w:val="22"/>
          <w:lang w:val="sr-Cyrl-BA"/>
        </w:rPr>
        <w:t xml:space="preserve"> буџета </w:t>
      </w:r>
      <w:r w:rsidR="00C37A18">
        <w:rPr>
          <w:rFonts w:ascii="Tahoma" w:hAnsi="Tahoma" w:cs="Tahoma"/>
          <w:bCs/>
          <w:iCs/>
          <w:sz w:val="22"/>
          <w:szCs w:val="22"/>
          <w:lang w:val="sr-Cyrl-BA"/>
        </w:rPr>
        <w:t xml:space="preserve">општине </w:t>
      </w:r>
      <w:r w:rsidR="00E06277">
        <w:rPr>
          <w:rFonts w:ascii="Tahoma" w:hAnsi="Tahoma" w:cs="Tahoma"/>
          <w:bCs/>
          <w:iCs/>
          <w:sz w:val="22"/>
          <w:szCs w:val="22"/>
          <w:lang w:val="sr-Cyrl-BA"/>
        </w:rPr>
        <w:t>Смедеревска Паланка</w:t>
      </w:r>
      <w:r>
        <w:rPr>
          <w:rFonts w:ascii="Tahoma" w:hAnsi="Tahoma" w:cs="Tahoma"/>
          <w:bCs/>
          <w:iCs/>
          <w:sz w:val="22"/>
          <w:szCs w:val="22"/>
          <w:lang w:val="sr-Cyrl-BA"/>
        </w:rPr>
        <w:t xml:space="preserve"> у временском периоду 2019-2021</w:t>
      </w:r>
      <w:r w:rsidR="00A73611">
        <w:rPr>
          <w:rFonts w:ascii="Tahoma" w:hAnsi="Tahoma" w:cs="Tahoma"/>
          <w:bCs/>
          <w:iCs/>
          <w:sz w:val="22"/>
          <w:szCs w:val="22"/>
          <w:lang w:val="sr-Cyrl-BA"/>
        </w:rPr>
        <w:t xml:space="preserve">                                                                                     </w:t>
      </w:r>
    </w:p>
    <w:p w14:paraId="1CF190BE" w14:textId="7A4A820A" w:rsidR="0074321F" w:rsidRDefault="0074321F" w:rsidP="0074321F">
      <w:pPr>
        <w:spacing w:after="160" w:line="254" w:lineRule="auto"/>
        <w:jc w:val="right"/>
        <w:rPr>
          <w:rFonts w:ascii="Tahoma" w:hAnsi="Tahoma" w:cs="Tahoma"/>
          <w:bCs/>
          <w:iCs/>
          <w:sz w:val="18"/>
          <w:szCs w:val="18"/>
          <w:lang w:val="sr-Cyrl-BA"/>
        </w:rPr>
      </w:pPr>
      <w:r>
        <w:rPr>
          <w:rFonts w:ascii="Tahoma" w:hAnsi="Tahoma" w:cs="Tahoma"/>
          <w:bCs/>
          <w:iCs/>
          <w:sz w:val="18"/>
          <w:szCs w:val="18"/>
          <w:lang w:val="sr-Cyrl-BA"/>
        </w:rPr>
        <w:t>у</w:t>
      </w:r>
      <w:r w:rsidRPr="005A7593">
        <w:rPr>
          <w:rFonts w:ascii="Tahoma" w:hAnsi="Tahoma" w:cs="Tahoma"/>
          <w:bCs/>
          <w:iCs/>
          <w:sz w:val="18"/>
          <w:szCs w:val="18"/>
          <w:lang w:val="sr-Cyrl-BA"/>
        </w:rPr>
        <w:t xml:space="preserve"> 000 динара</w:t>
      </w:r>
    </w:p>
    <w:tbl>
      <w:tblPr>
        <w:tblW w:w="10620" w:type="dxa"/>
        <w:tblInd w:w="-635" w:type="dxa"/>
        <w:tblLook w:val="04A0" w:firstRow="1" w:lastRow="0" w:firstColumn="1" w:lastColumn="0" w:noHBand="0" w:noVBand="1"/>
      </w:tblPr>
      <w:tblGrid>
        <w:gridCol w:w="1260"/>
        <w:gridCol w:w="1232"/>
        <w:gridCol w:w="1303"/>
        <w:gridCol w:w="1335"/>
        <w:gridCol w:w="1366"/>
        <w:gridCol w:w="1424"/>
        <w:gridCol w:w="1350"/>
        <w:gridCol w:w="1350"/>
      </w:tblGrid>
      <w:tr w:rsidR="00962754" w:rsidRPr="00962754" w14:paraId="6B0625C6" w14:textId="77777777" w:rsidTr="00962754">
        <w:trPr>
          <w:trHeight w:val="16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AA7F892" w14:textId="77777777" w:rsidR="00493676" w:rsidRPr="00493676" w:rsidRDefault="00493676" w:rsidP="0049367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ГОДИНА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8F7B5BB" w14:textId="77777777" w:rsidR="00493676" w:rsidRPr="00493676" w:rsidRDefault="00493676" w:rsidP="0049367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040 - Породица и деца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203A5B9" w14:textId="6C0CC2E7" w:rsidR="00493676" w:rsidRPr="00493676" w:rsidRDefault="00493676" w:rsidP="0049367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070 - Социјална помоћ угорженом становништву, неклас. на др. месту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0F95511" w14:textId="6CBCDE32" w:rsidR="00493676" w:rsidRPr="00493676" w:rsidRDefault="00493676" w:rsidP="0049367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090 - Социјална заштита неклас</w:t>
            </w:r>
            <w:r w:rsidR="00962754" w:rsidRPr="00962754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 xml:space="preserve">. </w:t>
            </w: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на другом месту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841431E" w14:textId="65A072C8" w:rsidR="00493676" w:rsidRPr="00493676" w:rsidRDefault="00493676" w:rsidP="0049367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110 - Извршни и законодавни органи, фин</w:t>
            </w:r>
            <w:r w:rsidR="00962754" w:rsidRPr="00962754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 xml:space="preserve">. </w:t>
            </w: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и фис</w:t>
            </w:r>
            <w:r w:rsidR="00962754" w:rsidRPr="00962754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 xml:space="preserve">к. </w:t>
            </w: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послови и спољни послови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AB8BCDA" w14:textId="77777777" w:rsidR="00493676" w:rsidRPr="00493676" w:rsidRDefault="00493676" w:rsidP="0049367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112 - Финансијски и фискални послови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C31C0B4" w14:textId="77777777" w:rsidR="00493676" w:rsidRPr="00493676" w:rsidRDefault="00493676" w:rsidP="0049367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130 - Опште услуге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BBA7422" w14:textId="46A14B55" w:rsidR="00493676" w:rsidRPr="00493676" w:rsidRDefault="00493676" w:rsidP="0049367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160 - Опште јавне услуге неклас</w:t>
            </w:r>
            <w:r w:rsidRPr="00962754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.</w:t>
            </w: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 xml:space="preserve"> на другом месту</w:t>
            </w:r>
          </w:p>
        </w:tc>
      </w:tr>
      <w:tr w:rsidR="00962754" w:rsidRPr="00962754" w14:paraId="25EE7E06" w14:textId="77777777" w:rsidTr="00962754">
        <w:trPr>
          <w:trHeight w:val="2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0CA5" w14:textId="77777777" w:rsidR="00493676" w:rsidRPr="00493676" w:rsidRDefault="00493676" w:rsidP="0049367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60F8C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6,926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F667E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21,279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BDAB2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9,328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1C038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40,144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81137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26,759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941E6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294,385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1E302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54,979</w:t>
            </w:r>
          </w:p>
        </w:tc>
      </w:tr>
      <w:tr w:rsidR="00962754" w:rsidRPr="00962754" w14:paraId="23B31855" w14:textId="77777777" w:rsidTr="00962754">
        <w:trPr>
          <w:trHeight w:val="22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6BCB" w14:textId="77777777" w:rsidR="00493676" w:rsidRPr="00493676" w:rsidRDefault="00493676" w:rsidP="0049367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2020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52CC0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8,347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2B211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14,622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61ABB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9,980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C48A2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39,447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B3A61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12,822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B78AD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285,243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14BBA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22,956</w:t>
            </w:r>
          </w:p>
        </w:tc>
      </w:tr>
      <w:tr w:rsidR="00962754" w:rsidRPr="00962754" w14:paraId="5C8968B8" w14:textId="77777777" w:rsidTr="00962754">
        <w:trPr>
          <w:trHeight w:val="2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2EBA" w14:textId="77777777" w:rsidR="00493676" w:rsidRPr="00493676" w:rsidRDefault="00493676" w:rsidP="0049367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2021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251BC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22,346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69409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14,931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9BE9C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10,768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2605B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53,700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7734E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15,148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F2E8E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322,611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9F8C5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29,410</w:t>
            </w:r>
          </w:p>
        </w:tc>
      </w:tr>
      <w:tr w:rsidR="00493676" w:rsidRPr="00962754" w14:paraId="5F52D546" w14:textId="77777777" w:rsidTr="00962754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33BCE" w14:textId="77777777" w:rsidR="00493676" w:rsidRPr="00493676" w:rsidRDefault="00493676" w:rsidP="0049367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B9A02F6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37,619</w:t>
            </w:r>
          </w:p>
        </w:tc>
        <w:tc>
          <w:tcPr>
            <w:tcW w:w="13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E7068E3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50,832</w:t>
            </w:r>
          </w:p>
        </w:tc>
        <w:tc>
          <w:tcPr>
            <w:tcW w:w="13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974BE48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30,076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EB4A6A0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133,291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3691322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54,729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10FAC02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902,239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46AC76" w14:textId="77777777" w:rsidR="00493676" w:rsidRPr="00493676" w:rsidRDefault="00493676" w:rsidP="00493676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493676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107,345</w:t>
            </w:r>
          </w:p>
        </w:tc>
      </w:tr>
    </w:tbl>
    <w:p w14:paraId="57E02CC9" w14:textId="77777777" w:rsidR="000744ED" w:rsidRDefault="000744ED" w:rsidP="00F03541">
      <w:pPr>
        <w:spacing w:after="160" w:line="254" w:lineRule="auto"/>
        <w:rPr>
          <w:rFonts w:ascii="Tahoma" w:hAnsi="Tahoma" w:cs="Tahoma"/>
          <w:bCs/>
          <w:iCs/>
          <w:sz w:val="22"/>
          <w:szCs w:val="22"/>
          <w:lang w:val="sr-Cyrl-BA"/>
        </w:rPr>
      </w:pPr>
    </w:p>
    <w:tbl>
      <w:tblPr>
        <w:tblW w:w="10620" w:type="dxa"/>
        <w:tblInd w:w="-635" w:type="dxa"/>
        <w:tblLook w:val="04A0" w:firstRow="1" w:lastRow="0" w:firstColumn="1" w:lastColumn="0" w:noHBand="0" w:noVBand="1"/>
      </w:tblPr>
      <w:tblGrid>
        <w:gridCol w:w="1250"/>
        <w:gridCol w:w="1256"/>
        <w:gridCol w:w="1326"/>
        <w:gridCol w:w="1298"/>
        <w:gridCol w:w="1350"/>
        <w:gridCol w:w="1440"/>
        <w:gridCol w:w="1350"/>
        <w:gridCol w:w="1350"/>
      </w:tblGrid>
      <w:tr w:rsidR="00DF7F49" w:rsidRPr="001E61FB" w14:paraId="236878B4" w14:textId="77777777" w:rsidTr="00923242">
        <w:trPr>
          <w:trHeight w:val="162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48C84E8" w14:textId="77777777" w:rsidR="00DF7F49" w:rsidRPr="00DF7F49" w:rsidRDefault="00DF7F49" w:rsidP="00DF7F49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330 - Судови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DD37666" w14:textId="65B034C8" w:rsidR="00DF7F49" w:rsidRPr="00DF7F49" w:rsidRDefault="00DF7F49" w:rsidP="00DF7F49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360 - Јавни ред и безбедност неклас</w:t>
            </w:r>
            <w:r w:rsidR="00962754"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.</w:t>
            </w:r>
            <w:r w:rsidRPr="00DF7F49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 xml:space="preserve"> на другом месту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471F0C8" w14:textId="77777777" w:rsidR="00DF7F49" w:rsidRPr="00DF7F49" w:rsidRDefault="00DF7F49" w:rsidP="00DF7F49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421 - Пољопривреда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2F1EAB" w14:textId="77777777" w:rsidR="00DF7F49" w:rsidRPr="00DF7F49" w:rsidRDefault="00DF7F49" w:rsidP="00DF7F49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451 - Друмски саобраћај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4B86341" w14:textId="77777777" w:rsidR="00DF7F49" w:rsidRPr="00DF7F49" w:rsidRDefault="00DF7F49" w:rsidP="00DF7F49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473 - Туризма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0C4AC59" w14:textId="6D04943F" w:rsidR="00DF7F49" w:rsidRPr="00DF7F49" w:rsidRDefault="00DF7F49" w:rsidP="00DF7F49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560 - Заштита животне средине неклас</w:t>
            </w:r>
            <w:r w:rsidR="00962754"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.</w:t>
            </w:r>
            <w:r w:rsidRPr="00DF7F49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 xml:space="preserve"> на другом месту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414B65C" w14:textId="77777777" w:rsidR="00DF7F49" w:rsidRPr="00DF7F49" w:rsidRDefault="00DF7F49" w:rsidP="00DF7F49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640 - Улична расвета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9A4D411" w14:textId="066BC343" w:rsidR="00DF7F49" w:rsidRPr="00DF7F49" w:rsidRDefault="00DF7F49" w:rsidP="00DF7F49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660 - Послови становања и заједнице неклас</w:t>
            </w:r>
            <w:r w:rsid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.</w:t>
            </w:r>
            <w:r w:rsidRPr="00DF7F49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 xml:space="preserve"> на другом месту</w:t>
            </w:r>
          </w:p>
        </w:tc>
      </w:tr>
      <w:tr w:rsidR="00DF7F49" w:rsidRPr="001E61FB" w14:paraId="5B98A5D5" w14:textId="77777777" w:rsidTr="00923242">
        <w:trPr>
          <w:trHeight w:val="24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B53C6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3,784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9D095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53,524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3D57F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4,764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23C28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AAE43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23,427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C111C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23,555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95809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45,263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3044C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6,530</w:t>
            </w:r>
          </w:p>
        </w:tc>
      </w:tr>
      <w:tr w:rsidR="00DF7F49" w:rsidRPr="001E61FB" w14:paraId="2C285403" w14:textId="77777777" w:rsidTr="00923242">
        <w:trPr>
          <w:trHeight w:val="228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ECE80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16,573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4AA1D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120,003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EFB6C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2,972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00C65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82DF9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958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87488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48,838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B85C3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60,170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74329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6,203</w:t>
            </w:r>
          </w:p>
        </w:tc>
      </w:tr>
      <w:tr w:rsidR="00DF7F49" w:rsidRPr="001E61FB" w14:paraId="500C728A" w14:textId="77777777" w:rsidTr="00923242">
        <w:trPr>
          <w:trHeight w:val="24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BC1F2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22,718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C2601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47,867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A939B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2,282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D97B3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102,093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16134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494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AE40E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46,516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BB099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63,895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2AA50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17,062</w:t>
            </w:r>
          </w:p>
        </w:tc>
      </w:tr>
      <w:tr w:rsidR="00962754" w:rsidRPr="001E61FB" w14:paraId="72169115" w14:textId="77777777" w:rsidTr="00923242">
        <w:trPr>
          <w:trHeight w:val="288"/>
        </w:trPr>
        <w:tc>
          <w:tcPr>
            <w:tcW w:w="12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892E9CF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43,075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7205D3B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221,394</w:t>
            </w:r>
          </w:p>
        </w:tc>
        <w:tc>
          <w:tcPr>
            <w:tcW w:w="13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FA5484B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10,018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2D3575E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102,093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0CB56D7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24,879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3CF3799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118,909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F94A99E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169,328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53BCC39" w14:textId="77777777" w:rsidR="00DF7F49" w:rsidRPr="00DF7F49" w:rsidRDefault="00DF7F49" w:rsidP="00DF7F49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F7F49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29,795</w:t>
            </w:r>
          </w:p>
        </w:tc>
      </w:tr>
    </w:tbl>
    <w:p w14:paraId="4F1866CC" w14:textId="77777777" w:rsidR="009A4D99" w:rsidRDefault="009A4D99" w:rsidP="00F03541">
      <w:pPr>
        <w:spacing w:after="160" w:line="254" w:lineRule="auto"/>
        <w:rPr>
          <w:rFonts w:ascii="Tahoma" w:hAnsi="Tahoma" w:cs="Tahoma"/>
          <w:bCs/>
          <w:iCs/>
          <w:sz w:val="22"/>
          <w:szCs w:val="22"/>
          <w:lang w:val="sr-Cyrl-BA"/>
        </w:rPr>
      </w:pPr>
    </w:p>
    <w:tbl>
      <w:tblPr>
        <w:tblW w:w="10620" w:type="dxa"/>
        <w:tblInd w:w="-635" w:type="dxa"/>
        <w:tblLook w:val="04A0" w:firstRow="1" w:lastRow="0" w:firstColumn="1" w:lastColumn="0" w:noHBand="0" w:noVBand="1"/>
      </w:tblPr>
      <w:tblGrid>
        <w:gridCol w:w="1260"/>
        <w:gridCol w:w="1260"/>
        <w:gridCol w:w="1350"/>
        <w:gridCol w:w="1260"/>
        <w:gridCol w:w="1401"/>
        <w:gridCol w:w="1411"/>
        <w:gridCol w:w="1328"/>
        <w:gridCol w:w="1350"/>
      </w:tblGrid>
      <w:tr w:rsidR="001E61FB" w:rsidRPr="001E61FB" w14:paraId="044F8EBA" w14:textId="77777777" w:rsidTr="001E61FB">
        <w:trPr>
          <w:trHeight w:val="16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280609" w14:textId="3D5BD0F3" w:rsidR="001E61FB" w:rsidRPr="001E61FB" w:rsidRDefault="001E61FB" w:rsidP="001E61FB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760 - Здравство неклас</w:t>
            </w:r>
            <w:r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.</w:t>
            </w:r>
            <w:r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 xml:space="preserve"> на др. месту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57C459B" w14:textId="77777777" w:rsidR="001E61FB" w:rsidRPr="001E61FB" w:rsidRDefault="001E61FB" w:rsidP="001E61FB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810 - Услуге рекреације и спорта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B87504F" w14:textId="77777777" w:rsidR="001E61FB" w:rsidRPr="001E61FB" w:rsidRDefault="001E61FB" w:rsidP="001E61FB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820 - Услуге културе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120AA0F" w14:textId="77777777" w:rsidR="001E61FB" w:rsidRPr="001E61FB" w:rsidRDefault="001E61FB" w:rsidP="001E61FB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830 - Услуге емитовања и издаваштва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28E69A" w14:textId="77777777" w:rsidR="001E61FB" w:rsidRPr="001E61FB" w:rsidRDefault="001E61FB" w:rsidP="001E61FB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911 - Предшколско образовање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5238407" w14:textId="77777777" w:rsidR="001E61FB" w:rsidRPr="001E61FB" w:rsidRDefault="001E61FB" w:rsidP="001E61FB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912 - Основно образовање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E8CD18A" w14:textId="77777777" w:rsidR="001E61FB" w:rsidRPr="001E61FB" w:rsidRDefault="001E61FB" w:rsidP="001E61FB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920 - Средње образовање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B4F828A" w14:textId="77777777" w:rsidR="001E61FB" w:rsidRPr="001E61FB" w:rsidRDefault="001E61FB" w:rsidP="001E61FB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УКУПНО</w:t>
            </w:r>
          </w:p>
        </w:tc>
      </w:tr>
      <w:tr w:rsidR="001E61FB" w:rsidRPr="001E61FB" w14:paraId="6E0A2203" w14:textId="77777777" w:rsidTr="001E61FB">
        <w:trPr>
          <w:trHeight w:val="2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31796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7,626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CC12B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19,798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B42D8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97,394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04977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19,859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F0A68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242,037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F301E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108,233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5BDF3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26,504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DEF5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1,136,098</w:t>
            </w:r>
          </w:p>
        </w:tc>
      </w:tr>
      <w:tr w:rsidR="001E61FB" w:rsidRPr="001E61FB" w14:paraId="1E434FFC" w14:textId="77777777" w:rsidTr="001E61FB">
        <w:trPr>
          <w:trHeight w:val="22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B219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10,308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816DD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20,734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1F573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92,641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21C75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17,309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AB2FC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232,473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13867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94,121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D8C81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27,073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F67A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1,143,793</w:t>
            </w:r>
          </w:p>
        </w:tc>
      </w:tr>
      <w:tr w:rsidR="001E61FB" w:rsidRPr="001E61FB" w14:paraId="399CAB02" w14:textId="77777777" w:rsidTr="001E61FB">
        <w:trPr>
          <w:trHeight w:val="2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029BA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8,359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7A5E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40,065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C5205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131,812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37CE8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16,334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BAA1F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312,250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A38F0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112,078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70237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28,421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C635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1,421,160</w:t>
            </w:r>
          </w:p>
        </w:tc>
      </w:tr>
      <w:tr w:rsidR="001E61FB" w:rsidRPr="001E61FB" w14:paraId="2628CC05" w14:textId="77777777" w:rsidTr="001E61F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A5937B4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26,293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BBAD546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80,597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994B2F3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321,847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8A1E9EC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53,502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697CDD1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786,760</w:t>
            </w:r>
          </w:p>
        </w:tc>
        <w:tc>
          <w:tcPr>
            <w:tcW w:w="14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8BF7E8E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314,432</w:t>
            </w:r>
          </w:p>
        </w:tc>
        <w:tc>
          <w:tcPr>
            <w:tcW w:w="13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566C6D5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81,998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AA87" w14:textId="77777777" w:rsidR="001E61FB" w:rsidRPr="001E61FB" w:rsidRDefault="001E61FB" w:rsidP="001E61FB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1E61FB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3,701,051</w:t>
            </w:r>
          </w:p>
        </w:tc>
      </w:tr>
    </w:tbl>
    <w:p w14:paraId="5E86FB3C" w14:textId="77777777" w:rsidR="002661F8" w:rsidRDefault="002661F8" w:rsidP="00F03541">
      <w:pPr>
        <w:spacing w:after="160" w:line="254" w:lineRule="auto"/>
        <w:rPr>
          <w:rFonts w:ascii="Tahoma" w:hAnsi="Tahoma" w:cs="Tahoma"/>
          <w:bCs/>
          <w:iCs/>
          <w:noProof/>
          <w:sz w:val="18"/>
          <w:szCs w:val="18"/>
          <w:lang w:val="en-US"/>
        </w:rPr>
      </w:pPr>
    </w:p>
    <w:p w14:paraId="2826553F" w14:textId="4C53C790" w:rsidR="002C3872" w:rsidRDefault="002C3872" w:rsidP="002C3872">
      <w:pPr>
        <w:spacing w:after="120"/>
        <w:jc w:val="both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  <w:r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Извор: Одлуке о завршним рачунима буџета </w:t>
      </w:r>
      <w:r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општине </w:t>
      </w:r>
      <w:r w:rsidR="009A7DE7">
        <w:rPr>
          <w:rFonts w:ascii="Tahoma" w:hAnsi="Tahoma" w:cs="Tahoma"/>
          <w:bCs/>
          <w:iCs/>
          <w:noProof/>
          <w:sz w:val="18"/>
          <w:szCs w:val="18"/>
          <w:lang w:val="sr-Cyrl-RS"/>
        </w:rPr>
        <w:t>Смедеревска Паланка</w:t>
      </w:r>
      <w:r w:rsidR="007D75B4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</w:t>
      </w:r>
      <w:r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2019-2021</w:t>
      </w:r>
      <w:r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- прорачун</w:t>
      </w:r>
    </w:p>
    <w:p w14:paraId="015DE264" w14:textId="77777777" w:rsidR="001E61FB" w:rsidRDefault="001E61FB" w:rsidP="00E04475">
      <w:pPr>
        <w:spacing w:after="160" w:line="259" w:lineRule="auto"/>
        <w:jc w:val="both"/>
        <w:rPr>
          <w:rFonts w:ascii="Tahoma" w:eastAsia="Calibri" w:hAnsi="Tahoma" w:cs="Tahoma"/>
          <w:iCs/>
          <w:noProof/>
          <w:sz w:val="22"/>
          <w:szCs w:val="22"/>
          <w:lang w:val="sr-Cyrl-RS"/>
        </w:rPr>
      </w:pPr>
    </w:p>
    <w:p w14:paraId="5E3B7B7A" w14:textId="469C8CCA" w:rsidR="00EB1800" w:rsidRDefault="00EB1800" w:rsidP="00E04475">
      <w:pPr>
        <w:spacing w:after="160" w:line="259" w:lineRule="auto"/>
        <w:jc w:val="both"/>
        <w:rPr>
          <w:rFonts w:ascii="Tahoma" w:eastAsia="Calibri" w:hAnsi="Tahoma" w:cs="Tahoma"/>
          <w:iCs/>
          <w:noProof/>
          <w:sz w:val="22"/>
          <w:szCs w:val="22"/>
          <w:lang w:val="sr-Cyrl-RS"/>
        </w:rPr>
      </w:pPr>
      <w:r w:rsidRPr="00EB1800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 xml:space="preserve">Према основним категоријама функционалне класификације, по заступљеним функционалним класама (троцифрене ознаке), добија се следећа </w:t>
      </w:r>
      <w:r w:rsidRPr="001F0B82">
        <w:rPr>
          <w:rFonts w:ascii="Tahoma" w:eastAsia="Calibri" w:hAnsi="Tahoma" w:cs="Tahoma"/>
          <w:b/>
          <w:bCs/>
          <w:iCs/>
          <w:noProof/>
          <w:sz w:val="22"/>
          <w:szCs w:val="22"/>
          <w:lang w:val="sr-Cyrl-RS"/>
        </w:rPr>
        <w:t>анализа учешћа појединих функција</w:t>
      </w:r>
      <w:r w:rsidR="00E04475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 xml:space="preserve"> (кроз табеларни преглед бр. 4.)</w:t>
      </w:r>
      <w:r w:rsidRPr="00EB1800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 xml:space="preserve"> у укупним расходима буџета </w:t>
      </w:r>
      <w:r w:rsidR="00AC01B2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 xml:space="preserve">општине </w:t>
      </w:r>
      <w:r w:rsidR="001E61FB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>Смедеревска Паланка</w:t>
      </w:r>
      <w:r w:rsidR="00E04475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 xml:space="preserve"> </w:t>
      </w:r>
      <w:r w:rsidRPr="00EB1800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>у анализираном периоду</w:t>
      </w:r>
      <w:r w:rsidR="00E04475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>.</w:t>
      </w:r>
    </w:p>
    <w:p w14:paraId="47D8B0E1" w14:textId="085FAF58" w:rsidR="00E04475" w:rsidRDefault="00E04475" w:rsidP="00E04475">
      <w:pPr>
        <w:spacing w:after="160" w:line="254" w:lineRule="auto"/>
        <w:jc w:val="both"/>
        <w:rPr>
          <w:rFonts w:ascii="Tahoma" w:hAnsi="Tahoma" w:cs="Tahoma"/>
          <w:bCs/>
          <w:iCs/>
          <w:sz w:val="22"/>
          <w:szCs w:val="22"/>
          <w:lang w:val="sr-Cyrl-BA"/>
        </w:rPr>
      </w:pPr>
      <w:r w:rsidRPr="00236987">
        <w:rPr>
          <w:rFonts w:ascii="Tahoma" w:hAnsi="Tahoma" w:cs="Tahoma"/>
          <w:b/>
          <w:iCs/>
          <w:sz w:val="22"/>
          <w:szCs w:val="22"/>
          <w:lang w:val="sr-Cyrl-BA"/>
        </w:rPr>
        <w:lastRenderedPageBreak/>
        <w:t xml:space="preserve">Табела бр. </w:t>
      </w:r>
      <w:r>
        <w:rPr>
          <w:rFonts w:ascii="Tahoma" w:hAnsi="Tahoma" w:cs="Tahoma"/>
          <w:b/>
          <w:iCs/>
          <w:sz w:val="22"/>
          <w:szCs w:val="22"/>
          <w:lang w:val="sr-Cyrl-BA"/>
        </w:rPr>
        <w:t>4</w:t>
      </w:r>
      <w:r w:rsidRPr="00236987">
        <w:rPr>
          <w:rFonts w:ascii="Tahoma" w:hAnsi="Tahoma" w:cs="Tahoma"/>
          <w:b/>
          <w:iCs/>
          <w:sz w:val="22"/>
          <w:szCs w:val="22"/>
          <w:lang w:val="sr-Cyrl-BA"/>
        </w:rPr>
        <w:t>.</w:t>
      </w:r>
      <w:r w:rsidRPr="00236987">
        <w:rPr>
          <w:rFonts w:ascii="Tahoma" w:hAnsi="Tahoma" w:cs="Tahoma"/>
          <w:bCs/>
          <w:iCs/>
          <w:sz w:val="22"/>
          <w:szCs w:val="22"/>
          <w:lang w:val="sr-Cyrl-BA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  <w:lang w:val="sr-Cyrl-BA"/>
        </w:rPr>
        <w:t>Заступљеност појединих категорија функционалне класификације у буџету</w:t>
      </w:r>
      <w:r w:rsidRPr="00236987">
        <w:rPr>
          <w:rFonts w:ascii="Tahoma" w:hAnsi="Tahoma" w:cs="Tahoma"/>
          <w:bCs/>
          <w:iCs/>
          <w:sz w:val="22"/>
          <w:szCs w:val="22"/>
          <w:lang w:val="sr-Cyrl-BA"/>
        </w:rPr>
        <w:t xml:space="preserve"> </w:t>
      </w:r>
      <w:r w:rsidR="00AC01B2">
        <w:rPr>
          <w:rFonts w:ascii="Tahoma" w:hAnsi="Tahoma" w:cs="Tahoma"/>
          <w:bCs/>
          <w:iCs/>
          <w:sz w:val="22"/>
          <w:szCs w:val="22"/>
          <w:lang w:val="sr-Cyrl-BA"/>
        </w:rPr>
        <w:t xml:space="preserve">општине </w:t>
      </w:r>
      <w:r w:rsidR="001E61FB">
        <w:rPr>
          <w:rFonts w:ascii="Tahoma" w:hAnsi="Tahoma" w:cs="Tahoma"/>
          <w:bCs/>
          <w:iCs/>
          <w:sz w:val="22"/>
          <w:szCs w:val="22"/>
          <w:lang w:val="sr-Cyrl-BA"/>
        </w:rPr>
        <w:t>Смедеревска Паланка</w:t>
      </w:r>
      <w:r>
        <w:rPr>
          <w:rFonts w:ascii="Tahoma" w:hAnsi="Tahoma" w:cs="Tahoma"/>
          <w:bCs/>
          <w:iCs/>
          <w:sz w:val="22"/>
          <w:szCs w:val="22"/>
          <w:lang w:val="sr-Cyrl-BA"/>
        </w:rPr>
        <w:t xml:space="preserve"> у временском периоду 2019-2021                                                                                       </w:t>
      </w:r>
    </w:p>
    <w:p w14:paraId="456E7A2F" w14:textId="6BF90D90" w:rsidR="00E04475" w:rsidRDefault="00E04475" w:rsidP="00E04475">
      <w:pPr>
        <w:spacing w:after="160" w:line="254" w:lineRule="auto"/>
        <w:jc w:val="right"/>
        <w:rPr>
          <w:rFonts w:ascii="Tahoma" w:hAnsi="Tahoma" w:cs="Tahoma"/>
          <w:noProof/>
          <w:lang w:val="sr-Cyrl-RS"/>
        </w:rPr>
      </w:pPr>
      <w:r>
        <w:rPr>
          <w:rFonts w:ascii="Tahoma" w:hAnsi="Tahoma" w:cs="Tahoma"/>
          <w:bCs/>
          <w:iCs/>
          <w:sz w:val="22"/>
          <w:szCs w:val="22"/>
          <w:lang w:val="sr-Cyrl-BA"/>
        </w:rPr>
        <w:t xml:space="preserve"> </w:t>
      </w:r>
      <w:r>
        <w:rPr>
          <w:rFonts w:ascii="Tahoma" w:hAnsi="Tahoma" w:cs="Tahoma"/>
          <w:bCs/>
          <w:iCs/>
          <w:sz w:val="18"/>
          <w:szCs w:val="18"/>
          <w:lang w:val="sr-Cyrl-BA"/>
        </w:rPr>
        <w:t>у</w:t>
      </w:r>
      <w:r w:rsidRPr="005A7593">
        <w:rPr>
          <w:rFonts w:ascii="Tahoma" w:hAnsi="Tahoma" w:cs="Tahoma"/>
          <w:bCs/>
          <w:iCs/>
          <w:sz w:val="18"/>
          <w:szCs w:val="18"/>
          <w:lang w:val="sr-Cyrl-BA"/>
        </w:rPr>
        <w:t xml:space="preserve"> 000 динара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980"/>
        <w:gridCol w:w="4280"/>
        <w:gridCol w:w="2140"/>
        <w:gridCol w:w="1955"/>
      </w:tblGrid>
      <w:tr w:rsidR="00AC01B2" w:rsidRPr="00AC01B2" w14:paraId="1A66A32D" w14:textId="77777777" w:rsidTr="00BA0FB4">
        <w:trPr>
          <w:trHeight w:val="11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8CA2C2E" w14:textId="77777777" w:rsidR="00AC01B2" w:rsidRPr="00AC01B2" w:rsidRDefault="00AC01B2" w:rsidP="00AC01B2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Ознака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0DD633" w14:textId="77777777" w:rsidR="00AC01B2" w:rsidRPr="00AC01B2" w:rsidRDefault="00AC01B2" w:rsidP="00AC01B2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Kатегорија функционалне класификације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0DF352C" w14:textId="77777777" w:rsidR="00AC01B2" w:rsidRPr="00AC01B2" w:rsidRDefault="00AC01B2" w:rsidP="00AC01B2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Укупна реализација по функционалној класификацији у периоду 2019-2021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E07C03C" w14:textId="77777777" w:rsidR="00AC01B2" w:rsidRPr="00AC01B2" w:rsidRDefault="00AC01B2" w:rsidP="00AC01B2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Проценат учешћа функције у односу на укупан износ извршења буџета у периоду 2019-2021</w:t>
            </w:r>
          </w:p>
        </w:tc>
      </w:tr>
      <w:tr w:rsidR="00F66FA0" w:rsidRPr="00AC01B2" w14:paraId="15499443" w14:textId="77777777" w:rsidTr="00AC01B2">
        <w:trPr>
          <w:trHeight w:val="49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C5F8" w14:textId="77777777" w:rsidR="00F66FA0" w:rsidRPr="00AC01B2" w:rsidRDefault="00F66FA0" w:rsidP="00F66FA0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A603" w14:textId="7D14EF5D" w:rsidR="00F66FA0" w:rsidRPr="00AC01B2" w:rsidRDefault="00F66FA0" w:rsidP="00F66FA0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Социјална заштита (шифра 0)</w:t>
            </w: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, укључује функционалне класификационе ознаке: 040,</w:t>
            </w:r>
            <w:r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 xml:space="preserve"> 060</w:t>
            </w: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 xml:space="preserve"> 070 и 090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C916" w14:textId="4369B0B8" w:rsidR="00F66FA0" w:rsidRPr="00AC01B2" w:rsidRDefault="00F66FA0" w:rsidP="00F66FA0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118,528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1E8A" w14:textId="0252FB2A" w:rsidR="00F66FA0" w:rsidRPr="00AC01B2" w:rsidRDefault="00F66FA0" w:rsidP="00F66FA0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3.20%</w:t>
            </w:r>
          </w:p>
        </w:tc>
      </w:tr>
      <w:tr w:rsidR="00F66FA0" w:rsidRPr="00AC01B2" w14:paraId="08B8DC75" w14:textId="77777777" w:rsidTr="00AC01B2">
        <w:trPr>
          <w:trHeight w:val="44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9932" w14:textId="77777777" w:rsidR="00F66FA0" w:rsidRPr="00AC01B2" w:rsidRDefault="00F66FA0" w:rsidP="00F66FA0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83F" w14:textId="441FC4F1" w:rsidR="00F66FA0" w:rsidRPr="00AC01B2" w:rsidRDefault="00F66FA0" w:rsidP="00F66FA0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Опште јавне услуге (шифра 1)</w:t>
            </w: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, укључује функционалне класификационе ознаке:  11</w:t>
            </w:r>
            <w:r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0</w:t>
            </w: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,</w:t>
            </w:r>
            <w:r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 xml:space="preserve"> </w:t>
            </w: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130</w:t>
            </w:r>
            <w:r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 xml:space="preserve"> и</w:t>
            </w: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 xml:space="preserve"> 160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D4DB" w14:textId="405BD0A2" w:rsidR="00F66FA0" w:rsidRPr="00AC01B2" w:rsidRDefault="00F66FA0" w:rsidP="00F66FA0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sz w:val="14"/>
                <w:szCs w:val="14"/>
              </w:rPr>
              <w:t>1,197,604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CBF2" w14:textId="1E6754E7" w:rsidR="00F66FA0" w:rsidRPr="00AC01B2" w:rsidRDefault="00F66FA0" w:rsidP="00F66FA0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sz w:val="14"/>
                <w:szCs w:val="14"/>
              </w:rPr>
              <w:t>32.36%</w:t>
            </w:r>
          </w:p>
        </w:tc>
      </w:tr>
      <w:tr w:rsidR="00F66FA0" w:rsidRPr="00AC01B2" w14:paraId="1D33040F" w14:textId="77777777" w:rsidTr="00AC01B2">
        <w:trPr>
          <w:trHeight w:val="4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2A4E" w14:textId="77777777" w:rsidR="00F66FA0" w:rsidRPr="00AC01B2" w:rsidRDefault="00F66FA0" w:rsidP="00F66FA0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B5D8" w14:textId="452BD49A" w:rsidR="00F66FA0" w:rsidRPr="00AC01B2" w:rsidRDefault="00F66FA0" w:rsidP="00F66FA0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Одбрана (шифра 2)</w:t>
            </w: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 xml:space="preserve">, укључује функционалне класификационе ознаке: </w:t>
            </w:r>
            <w:r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128F" w14:textId="7BEA7DE2" w:rsidR="00F66FA0" w:rsidRPr="00AC01B2" w:rsidRDefault="00F66FA0" w:rsidP="00F66FA0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D1CB" w14:textId="5A767BD0" w:rsidR="00F66FA0" w:rsidRPr="00AC01B2" w:rsidRDefault="00F66FA0" w:rsidP="00F66FA0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sz w:val="14"/>
                <w:szCs w:val="14"/>
              </w:rPr>
              <w:t>0.00%</w:t>
            </w:r>
          </w:p>
        </w:tc>
      </w:tr>
      <w:tr w:rsidR="00F66FA0" w:rsidRPr="00AC01B2" w14:paraId="56CBA4F9" w14:textId="77777777" w:rsidTr="00AC01B2">
        <w:trPr>
          <w:trHeight w:val="43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667A" w14:textId="77777777" w:rsidR="00F66FA0" w:rsidRPr="00AC01B2" w:rsidRDefault="00F66FA0" w:rsidP="00F66FA0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248C" w14:textId="5DB253B8" w:rsidR="00F66FA0" w:rsidRPr="00AC01B2" w:rsidRDefault="00F66FA0" w:rsidP="00F66FA0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Јавни ред и безбедност (шифра 3)</w:t>
            </w: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 xml:space="preserve">, укључује функционалне класификационе ознаке: 330 </w:t>
            </w:r>
            <w:r w:rsidRPr="00F17B3F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и 360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DA9D" w14:textId="1A3966F3" w:rsidR="00F66FA0" w:rsidRPr="00AC01B2" w:rsidRDefault="00F66FA0" w:rsidP="00F66FA0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sz w:val="14"/>
                <w:szCs w:val="14"/>
              </w:rPr>
              <w:t>264,467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8504" w14:textId="48C198AD" w:rsidR="00F66FA0" w:rsidRPr="00AC01B2" w:rsidRDefault="00F66FA0" w:rsidP="00F66FA0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7.15%</w:t>
            </w:r>
          </w:p>
        </w:tc>
      </w:tr>
      <w:tr w:rsidR="00F66FA0" w:rsidRPr="00AC01B2" w14:paraId="1B28838C" w14:textId="77777777" w:rsidTr="00AC01B2">
        <w:trPr>
          <w:trHeight w:val="44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B8FA" w14:textId="77777777" w:rsidR="00F66FA0" w:rsidRPr="00AC01B2" w:rsidRDefault="00F66FA0" w:rsidP="00F66FA0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2477" w14:textId="559C0F6E" w:rsidR="00F66FA0" w:rsidRPr="00AC01B2" w:rsidRDefault="00F66FA0" w:rsidP="00F66FA0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Економски послови (шифра 4)</w:t>
            </w: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, укључује функционалне класификационе ознаке: 421, 451</w:t>
            </w:r>
            <w:r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,</w:t>
            </w: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 xml:space="preserve"> 473</w:t>
            </w:r>
            <w:r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 xml:space="preserve"> и 480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B450" w14:textId="5B743155" w:rsidR="00F66FA0" w:rsidRPr="00AC01B2" w:rsidRDefault="00F66FA0" w:rsidP="00F66FA0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136,991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14B0" w14:textId="2CFC4D14" w:rsidR="00F66FA0" w:rsidRPr="00AC01B2" w:rsidRDefault="00F66FA0" w:rsidP="00F66FA0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3.70%</w:t>
            </w:r>
          </w:p>
        </w:tc>
      </w:tr>
      <w:tr w:rsidR="00F66FA0" w:rsidRPr="00AC01B2" w14:paraId="65CA5DC2" w14:textId="77777777" w:rsidTr="00AC01B2">
        <w:trPr>
          <w:trHeight w:val="4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6301" w14:textId="77777777" w:rsidR="00F66FA0" w:rsidRPr="00AC01B2" w:rsidRDefault="00F66FA0" w:rsidP="00F66FA0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12B3" w14:textId="211AAA33" w:rsidR="00F66FA0" w:rsidRPr="00AC01B2" w:rsidRDefault="00F66FA0" w:rsidP="00F66FA0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Заштита животне средине (шифра 5)</w:t>
            </w: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 xml:space="preserve">, укључује функционалне класификационе ознаке:  </w:t>
            </w:r>
            <w:r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510 и 560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483F" w14:textId="6484227F" w:rsidR="00F66FA0" w:rsidRPr="00AC01B2" w:rsidRDefault="00F66FA0" w:rsidP="00F66FA0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118,909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9664" w14:textId="52F1B361" w:rsidR="00F66FA0" w:rsidRPr="00AC01B2" w:rsidRDefault="00F66FA0" w:rsidP="00F66FA0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3.21%</w:t>
            </w:r>
          </w:p>
        </w:tc>
      </w:tr>
      <w:tr w:rsidR="00F66FA0" w:rsidRPr="00AC01B2" w14:paraId="02D6E8EB" w14:textId="77777777" w:rsidTr="003341DF">
        <w:trPr>
          <w:trHeight w:val="3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B6BE" w14:textId="77777777" w:rsidR="00F66FA0" w:rsidRPr="00AC01B2" w:rsidRDefault="00F66FA0" w:rsidP="00F66FA0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53A3" w14:textId="1D8F2790" w:rsidR="00F66FA0" w:rsidRPr="00AC01B2" w:rsidRDefault="00F66FA0" w:rsidP="00F66FA0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Послови становања и заједнице (шифра 6)</w:t>
            </w: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, укључује функционалне класификационе ознаке: 630</w:t>
            </w:r>
            <w:r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 xml:space="preserve"> и</w:t>
            </w: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 xml:space="preserve"> 640</w:t>
            </w:r>
            <w:r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9264" w14:textId="0C8F033F" w:rsidR="00F66FA0" w:rsidRPr="00AC01B2" w:rsidRDefault="00F66FA0" w:rsidP="00F66FA0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sz w:val="14"/>
                <w:szCs w:val="14"/>
              </w:rPr>
              <w:t>199,123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020A" w14:textId="21E39B7A" w:rsidR="00F66FA0" w:rsidRPr="00AC01B2" w:rsidRDefault="00F66FA0" w:rsidP="00F66FA0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5.38%</w:t>
            </w:r>
          </w:p>
        </w:tc>
      </w:tr>
      <w:tr w:rsidR="00F66FA0" w:rsidRPr="00AC01B2" w14:paraId="73C7F062" w14:textId="77777777" w:rsidTr="00AC01B2">
        <w:trPr>
          <w:trHeight w:val="43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2417" w14:textId="77777777" w:rsidR="00F66FA0" w:rsidRPr="00AC01B2" w:rsidRDefault="00F66FA0" w:rsidP="00F66FA0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39FD" w14:textId="256784B2" w:rsidR="00F66FA0" w:rsidRPr="00AC01B2" w:rsidRDefault="00F66FA0" w:rsidP="00F66FA0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Здравство (шифра 7)</w:t>
            </w: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 xml:space="preserve">, укључује функционалне класификационе ознаке: </w:t>
            </w:r>
            <w:r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721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48C9" w14:textId="6D624966" w:rsidR="00F66FA0" w:rsidRPr="00AC01B2" w:rsidRDefault="00F66FA0" w:rsidP="00F66FA0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sz w:val="14"/>
                <w:szCs w:val="14"/>
              </w:rPr>
              <w:t>26,293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2637" w14:textId="5945409B" w:rsidR="00F66FA0" w:rsidRPr="00AC01B2" w:rsidRDefault="00F66FA0" w:rsidP="00F66FA0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sz w:val="14"/>
                <w:szCs w:val="14"/>
              </w:rPr>
              <w:t>0.71%</w:t>
            </w:r>
          </w:p>
        </w:tc>
      </w:tr>
      <w:tr w:rsidR="00F66FA0" w:rsidRPr="00AC01B2" w14:paraId="448D1A6E" w14:textId="77777777" w:rsidTr="00AC01B2">
        <w:trPr>
          <w:trHeight w:val="44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C8BA" w14:textId="77777777" w:rsidR="00F66FA0" w:rsidRPr="00AC01B2" w:rsidRDefault="00F66FA0" w:rsidP="00F66FA0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5B6B" w14:textId="77334502" w:rsidR="00F66FA0" w:rsidRPr="00AC01B2" w:rsidRDefault="00F66FA0" w:rsidP="00F66FA0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Рекреација, спорт, култура и вере (шифра 8)</w:t>
            </w: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, укључује функционалне класификационе ознаке: 810</w:t>
            </w:r>
            <w:r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 xml:space="preserve"> и </w:t>
            </w: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 xml:space="preserve">820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D529" w14:textId="0DA8A9BB" w:rsidR="00F66FA0" w:rsidRPr="00AC01B2" w:rsidRDefault="00F66FA0" w:rsidP="00F66FA0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sz w:val="14"/>
                <w:szCs w:val="14"/>
              </w:rPr>
              <w:t>455,946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760F" w14:textId="4DBE99B2" w:rsidR="00F66FA0" w:rsidRPr="00AC01B2" w:rsidRDefault="00F66FA0" w:rsidP="00F66FA0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12.32%</w:t>
            </w:r>
          </w:p>
        </w:tc>
      </w:tr>
      <w:tr w:rsidR="00F66FA0" w:rsidRPr="00AC01B2" w14:paraId="37A8A36A" w14:textId="77777777" w:rsidTr="00AC01B2">
        <w:trPr>
          <w:trHeight w:val="4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C6E6" w14:textId="77777777" w:rsidR="00F66FA0" w:rsidRPr="00AC01B2" w:rsidRDefault="00F66FA0" w:rsidP="00F66FA0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56B3" w14:textId="04F7DE06" w:rsidR="00F66FA0" w:rsidRPr="00AC01B2" w:rsidRDefault="00F66FA0" w:rsidP="00F66FA0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Образовање (шифра 9)</w:t>
            </w: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, укључује функционалне класификационе ознаке: 911</w:t>
            </w:r>
            <w:r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 xml:space="preserve"> и</w:t>
            </w:r>
            <w:r w:rsidRPr="00AC01B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 xml:space="preserve"> 912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CF4B" w14:textId="5A196D9C" w:rsidR="00F66FA0" w:rsidRPr="00AC01B2" w:rsidRDefault="00F66FA0" w:rsidP="00F66FA0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sz w:val="14"/>
                <w:szCs w:val="14"/>
              </w:rPr>
              <w:t>1,183,190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47E9" w14:textId="3EC1781F" w:rsidR="00F66FA0" w:rsidRPr="00AC01B2" w:rsidRDefault="00F66FA0" w:rsidP="00F66FA0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sz w:val="14"/>
                <w:szCs w:val="14"/>
              </w:rPr>
              <w:t>31.97%</w:t>
            </w:r>
          </w:p>
        </w:tc>
      </w:tr>
      <w:tr w:rsidR="00F66FA0" w:rsidRPr="00AC01B2" w14:paraId="2D0AA3EA" w14:textId="77777777" w:rsidTr="00752112">
        <w:trPr>
          <w:trHeight w:val="4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486D" w14:textId="77777777" w:rsidR="00F66FA0" w:rsidRPr="00752112" w:rsidRDefault="00F66FA0" w:rsidP="00F66FA0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752112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66B8" w14:textId="77777777" w:rsidR="00F66FA0" w:rsidRPr="00AC01B2" w:rsidRDefault="00F66FA0" w:rsidP="00F66FA0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C01B2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Укупно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9B0E" w14:textId="2D5DE563" w:rsidR="00F66FA0" w:rsidRPr="00752112" w:rsidRDefault="00F66FA0" w:rsidP="00F66FA0">
            <w:pPr>
              <w:suppressAutoHyphens w:val="0"/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3,701,051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2575" w14:textId="2D8E4911" w:rsidR="00F66FA0" w:rsidRPr="00752112" w:rsidRDefault="00F66FA0" w:rsidP="00F66FA0">
            <w:pPr>
              <w:suppressAutoHyphens w:val="0"/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100.00%</w:t>
            </w:r>
          </w:p>
        </w:tc>
      </w:tr>
    </w:tbl>
    <w:p w14:paraId="0D3E2EB2" w14:textId="77777777" w:rsidR="00752112" w:rsidRDefault="00752112">
      <w:pPr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</w:p>
    <w:p w14:paraId="2D380B1E" w14:textId="5ED385FA" w:rsidR="00CB38A7" w:rsidRDefault="00752112">
      <w:r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Извор: Одлуке о завршним рачунима буџета </w:t>
      </w:r>
      <w:r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општине </w:t>
      </w:r>
      <w:r w:rsidR="00F66FA0">
        <w:rPr>
          <w:rFonts w:ascii="Tahoma" w:hAnsi="Tahoma" w:cs="Tahoma"/>
          <w:bCs/>
          <w:iCs/>
          <w:noProof/>
          <w:sz w:val="18"/>
          <w:szCs w:val="18"/>
          <w:lang w:val="sr-Cyrl-RS"/>
        </w:rPr>
        <w:t>Смедеревска Паланка</w:t>
      </w:r>
      <w:r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2019-2021</w:t>
      </w:r>
      <w:r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- прорачун</w:t>
      </w:r>
    </w:p>
    <w:p w14:paraId="7F38F070" w14:textId="1CC603E6" w:rsidR="00752112" w:rsidRDefault="00F66FA0">
      <w:r w:rsidRPr="00B268A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mc:AlternateContent>
          <mc:Choice Requires="wps">
            <w:drawing>
              <wp:anchor distT="91440" distB="91440" distL="114300" distR="114300" simplePos="0" relativeHeight="251668480" behindDoc="0" locked="0" layoutInCell="1" allowOverlap="1" wp14:anchorId="6536E2B8" wp14:editId="73903E0E">
                <wp:simplePos x="0" y="0"/>
                <wp:positionH relativeFrom="margin">
                  <wp:align>right</wp:align>
                </wp:positionH>
                <wp:positionV relativeFrom="paragraph">
                  <wp:posOffset>313690</wp:posOffset>
                </wp:positionV>
                <wp:extent cx="5943600" cy="1193800"/>
                <wp:effectExtent l="0" t="0" r="19050" b="254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93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F8532" w14:textId="72ED39B6" w:rsidR="008B5ABD" w:rsidRPr="00495694" w:rsidRDefault="008B5ABD" w:rsidP="008B5ABD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Индикатор за потребе израде анализе стања и праћења достизања циљева одрживог развоја – 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функционална анализа буџета</w:t>
                            </w: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44C5AABA" w14:textId="4EDF0C52" w:rsidR="008B5ABD" w:rsidRPr="00495694" w:rsidRDefault="008B5ABD" w:rsidP="008B5ABD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Релативно учешће 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категорија функционалне класификације у укупним извршеним расходима и издацима буџета </w:t>
                            </w:r>
                            <w:r w:rsidR="00F408FD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општине</w:t>
                            </w:r>
                          </w:p>
                          <w:p w14:paraId="47DE7F25" w14:textId="77777777" w:rsidR="008B5ABD" w:rsidRPr="00495694" w:rsidRDefault="008B5ABD" w:rsidP="008B5ABD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C08549" w14:textId="77777777" w:rsidR="008B5ABD" w:rsidRPr="00495694" w:rsidRDefault="008B5ABD" w:rsidP="008B5ABD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5B9BD5" w:themeColor="accent1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C60901" w14:textId="77777777" w:rsidR="008B5ABD" w:rsidRPr="00495694" w:rsidRDefault="008B5ABD" w:rsidP="008B5AB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6E2B8" id="_x0000_s1031" type="#_x0000_t202" style="position:absolute;margin-left:416.8pt;margin-top:24.7pt;width:468pt;height:94pt;z-index:251668480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" fillcolor="white [3201]" strokecolor="#2f5496 [2408]" strokeweight="1pt">
                <v:textbox>
                  <w:txbxContent>
                    <w:p w14:paraId="2A9F8532" w14:textId="72ED39B6" w:rsidR="008B5ABD" w:rsidRPr="00495694" w:rsidRDefault="008B5ABD" w:rsidP="008B5ABD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Индикатор за потребе израде анализе стања и праћења достизања циљева одрживог развоја – </w:t>
                      </w:r>
                      <w:r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функционална анализа буџета</w:t>
                      </w: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44C5AABA" w14:textId="4EDF0C52" w:rsidR="008B5ABD" w:rsidRPr="00495694" w:rsidRDefault="008B5ABD" w:rsidP="008B5ABD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Релативно учешће 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категорија функционалне класификације у укупним извршеним расходима и издацима буџета </w:t>
                      </w:r>
                      <w:r w:rsidR="00F408FD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општине</w:t>
                      </w:r>
                    </w:p>
                    <w:p w14:paraId="47DE7F25" w14:textId="77777777" w:rsidR="008B5ABD" w:rsidRPr="00495694" w:rsidRDefault="008B5ABD" w:rsidP="008B5ABD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C08549" w14:textId="77777777" w:rsidR="008B5ABD" w:rsidRPr="00495694" w:rsidRDefault="008B5ABD" w:rsidP="008B5ABD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5B9BD5" w:themeColor="accent1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DC60901" w14:textId="77777777" w:rsidR="008B5ABD" w:rsidRPr="00495694" w:rsidRDefault="008B5ABD" w:rsidP="008B5AB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9990F84" w14:textId="30FE09AD" w:rsidR="00163CB0" w:rsidRDefault="00163CB0" w:rsidP="00505B5B">
      <w:pPr>
        <w:spacing w:after="120"/>
        <w:jc w:val="both"/>
        <w:rPr>
          <w:rFonts w:ascii="Tahoma" w:hAnsi="Tahoma" w:cs="Tahoma"/>
          <w:noProof/>
          <w:lang w:val="sr-Cyrl-RS"/>
        </w:rPr>
      </w:pPr>
    </w:p>
    <w:p w14:paraId="67595A69" w14:textId="77777777" w:rsidR="00F66FA0" w:rsidRDefault="00F66FA0" w:rsidP="000C5977">
      <w:pPr>
        <w:pStyle w:val="Heading3"/>
        <w:numPr>
          <w:ilvl w:val="0"/>
          <w:numId w:val="0"/>
        </w:numPr>
        <w:rPr>
          <w:rFonts w:ascii="Tahoma" w:hAnsi="Tahoma" w:cs="Tahoma"/>
          <w:b/>
          <w:bCs/>
          <w:noProof/>
          <w:lang w:val="en-US"/>
        </w:rPr>
      </w:pPr>
    </w:p>
    <w:p w14:paraId="1BA3758E" w14:textId="283DD677" w:rsidR="00EB1800" w:rsidRPr="00F67578" w:rsidRDefault="00EB1800" w:rsidP="000C5977">
      <w:pPr>
        <w:pStyle w:val="Heading3"/>
        <w:numPr>
          <w:ilvl w:val="0"/>
          <w:numId w:val="0"/>
        </w:numPr>
        <w:rPr>
          <w:rFonts w:ascii="Tahoma" w:hAnsi="Tahoma" w:cs="Tahoma"/>
          <w:b/>
          <w:bCs/>
          <w:noProof/>
          <w:lang w:val="sr-Cyrl-BA"/>
        </w:rPr>
      </w:pPr>
      <w:r w:rsidRPr="00F67578">
        <w:rPr>
          <w:rFonts w:ascii="Tahoma" w:hAnsi="Tahoma" w:cs="Tahoma"/>
          <w:b/>
          <w:bCs/>
          <w:noProof/>
          <w:lang w:val="en-US"/>
        </w:rPr>
        <w:t>3.</w:t>
      </w:r>
      <w:r>
        <w:rPr>
          <w:rFonts w:ascii="Tahoma" w:hAnsi="Tahoma" w:cs="Tahoma"/>
          <w:b/>
          <w:bCs/>
          <w:noProof/>
          <w:lang w:val="sr-Cyrl-RS"/>
        </w:rPr>
        <w:t>3</w:t>
      </w:r>
      <w:r w:rsidRPr="00F67578">
        <w:rPr>
          <w:rFonts w:ascii="Tahoma" w:hAnsi="Tahoma" w:cs="Tahoma"/>
          <w:b/>
          <w:bCs/>
          <w:noProof/>
          <w:lang w:val="en-US"/>
        </w:rPr>
        <w:t xml:space="preserve">. </w:t>
      </w:r>
      <w:r>
        <w:rPr>
          <w:rFonts w:ascii="Tahoma" w:hAnsi="Tahoma" w:cs="Tahoma"/>
          <w:b/>
          <w:bCs/>
          <w:noProof/>
          <w:lang w:val="sr-Cyrl-RS"/>
        </w:rPr>
        <w:t>Економска</w:t>
      </w:r>
      <w:r w:rsidRPr="00F67578">
        <w:rPr>
          <w:rFonts w:ascii="Tahoma" w:hAnsi="Tahoma" w:cs="Tahoma"/>
          <w:b/>
          <w:bCs/>
          <w:noProof/>
          <w:lang w:val="sr-Cyrl-RS"/>
        </w:rPr>
        <w:t xml:space="preserve"> класификација</w:t>
      </w:r>
      <w:r w:rsidRPr="00F67578">
        <w:rPr>
          <w:rFonts w:ascii="Tahoma" w:hAnsi="Tahoma" w:cs="Tahoma"/>
          <w:b/>
          <w:bCs/>
          <w:noProof/>
          <w:lang w:val="sr-Cyrl-BA"/>
        </w:rPr>
        <w:t xml:space="preserve"> </w:t>
      </w:r>
    </w:p>
    <w:p w14:paraId="15336FCC" w14:textId="77777777" w:rsidR="008566E7" w:rsidRDefault="008566E7" w:rsidP="00FA547A">
      <w:pPr>
        <w:pStyle w:val="NormalWeb"/>
        <w:spacing w:before="0" w:beforeAutospacing="0" w:after="120"/>
        <w:jc w:val="both"/>
        <w:rPr>
          <w:rFonts w:ascii="Tahoma" w:hAnsi="Tahoma" w:cs="Tahoma"/>
          <w:noProof/>
          <w:sz w:val="22"/>
          <w:szCs w:val="22"/>
          <w:lang w:val="sr-Cyrl-RS"/>
        </w:rPr>
      </w:pPr>
    </w:p>
    <w:p w14:paraId="750F5959" w14:textId="21B2B661" w:rsidR="00E74BBA" w:rsidRPr="00F82A7F" w:rsidRDefault="00E74BBA" w:rsidP="00ED28DC">
      <w:pPr>
        <w:pStyle w:val="NormalWeb"/>
        <w:spacing w:before="0" w:beforeAutospacing="0" w:after="160" w:line="259" w:lineRule="auto"/>
        <w:jc w:val="both"/>
        <w:rPr>
          <w:rFonts w:ascii="Tahoma" w:hAnsi="Tahoma" w:cs="Tahoma"/>
          <w:noProof/>
          <w:lang w:val="sr-Cyrl-RS"/>
        </w:rPr>
      </w:pPr>
      <w:r w:rsidRPr="00EB1800">
        <w:rPr>
          <w:rFonts w:ascii="Tahoma" w:hAnsi="Tahoma" w:cs="Tahoma"/>
          <w:b/>
          <w:bCs/>
          <w:noProof/>
          <w:sz w:val="22"/>
          <w:szCs w:val="22"/>
          <w:lang w:val="sr-Cyrl-RS"/>
        </w:rPr>
        <w:t>Економску класификацију чине класе прихода и примања, односно расхода и издатака, у оквиру Контног плана за буџетски систем.</w:t>
      </w:r>
      <w:r w:rsidRPr="00F82A7F">
        <w:rPr>
          <w:rFonts w:ascii="Tahoma" w:hAnsi="Tahoma" w:cs="Tahoma"/>
          <w:noProof/>
          <w:sz w:val="22"/>
          <w:szCs w:val="22"/>
          <w:lang w:val="sr-Cyrl-RS"/>
        </w:rPr>
        <w:t xml:space="preserve"> Економска класификација прихода и примања исказује приходе и примања на основу прописа, другог акта заснованог на закону или уговора који одређују изворе прихода, односно примања. Економска </w:t>
      </w:r>
      <w:r w:rsidRPr="00F82A7F">
        <w:rPr>
          <w:rFonts w:ascii="Tahoma" w:hAnsi="Tahoma" w:cs="Tahoma"/>
          <w:noProof/>
          <w:sz w:val="22"/>
          <w:szCs w:val="22"/>
          <w:lang w:val="sr-Cyrl-RS"/>
        </w:rPr>
        <w:lastRenderedPageBreak/>
        <w:t>класификација расхода и издатака исказује појединачна добра и услуге и извршена трансферна плаћања.</w:t>
      </w:r>
    </w:p>
    <w:p w14:paraId="68E3A085" w14:textId="73A6D4A0" w:rsidR="00E74BBA" w:rsidRDefault="00E74BBA" w:rsidP="00ED28DC">
      <w:pPr>
        <w:pStyle w:val="NormalWeb"/>
        <w:spacing w:before="0" w:beforeAutospacing="0"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F82A7F">
        <w:rPr>
          <w:rFonts w:ascii="Tahoma" w:hAnsi="Tahoma" w:cs="Tahoma"/>
          <w:noProof/>
          <w:sz w:val="22"/>
          <w:szCs w:val="22"/>
          <w:lang w:val="sr-Cyrl-RS"/>
        </w:rPr>
        <w:t>Анали</w:t>
      </w:r>
      <w:r w:rsidR="00ED28DC">
        <w:rPr>
          <w:rFonts w:ascii="Tahoma" w:hAnsi="Tahoma" w:cs="Tahoma"/>
          <w:noProof/>
          <w:sz w:val="22"/>
          <w:szCs w:val="22"/>
          <w:lang w:val="sr-Cyrl-RS"/>
        </w:rPr>
        <w:t>тички преглед</w:t>
      </w:r>
      <w:r w:rsidRPr="00F82A7F">
        <w:rPr>
          <w:rFonts w:ascii="Tahoma" w:hAnsi="Tahoma" w:cs="Tahoma"/>
          <w:noProof/>
          <w:sz w:val="22"/>
          <w:szCs w:val="22"/>
          <w:lang w:val="sr-Cyrl-RS"/>
        </w:rPr>
        <w:t xml:space="preserve"> извршења расхода и издатака по усвојеном буџету </w:t>
      </w:r>
      <w:r w:rsidR="00AC01B2">
        <w:rPr>
          <w:rFonts w:ascii="Tahoma" w:hAnsi="Tahoma" w:cs="Tahoma"/>
          <w:noProof/>
          <w:sz w:val="22"/>
          <w:szCs w:val="22"/>
          <w:lang w:val="sr-Cyrl-RS"/>
        </w:rPr>
        <w:t xml:space="preserve">општине </w:t>
      </w:r>
      <w:r w:rsidR="007A49C1">
        <w:rPr>
          <w:rFonts w:ascii="Tahoma" w:hAnsi="Tahoma" w:cs="Tahoma"/>
          <w:noProof/>
          <w:sz w:val="22"/>
          <w:szCs w:val="22"/>
          <w:lang w:val="sr-Cyrl-RS"/>
        </w:rPr>
        <w:t>С</w:t>
      </w:r>
      <w:r w:rsidR="00EA2709">
        <w:rPr>
          <w:rFonts w:ascii="Tahoma" w:hAnsi="Tahoma" w:cs="Tahoma"/>
          <w:noProof/>
          <w:sz w:val="22"/>
          <w:szCs w:val="22"/>
          <w:lang w:val="sr-Cyrl-RS"/>
        </w:rPr>
        <w:t>медеревска Паланка</w:t>
      </w:r>
      <w:r w:rsidRPr="00F82A7F">
        <w:rPr>
          <w:rFonts w:ascii="Tahoma" w:hAnsi="Tahoma" w:cs="Tahoma"/>
          <w:noProof/>
          <w:sz w:val="22"/>
          <w:szCs w:val="22"/>
          <w:lang w:val="sr-Cyrl-RS"/>
        </w:rPr>
        <w:t xml:space="preserve">, </w:t>
      </w:r>
      <w:r w:rsidR="001F0B82">
        <w:rPr>
          <w:rFonts w:ascii="Tahoma" w:hAnsi="Tahoma" w:cs="Tahoma"/>
          <w:noProof/>
          <w:sz w:val="22"/>
          <w:szCs w:val="22"/>
          <w:lang w:val="sr-Cyrl-RS"/>
        </w:rPr>
        <w:t xml:space="preserve">по економској класификацији – контима књижења, </w:t>
      </w:r>
      <w:r w:rsidRPr="00F82A7F">
        <w:rPr>
          <w:rFonts w:ascii="Tahoma" w:hAnsi="Tahoma" w:cs="Tahoma"/>
          <w:noProof/>
          <w:sz w:val="22"/>
          <w:szCs w:val="22"/>
          <w:lang w:val="sr-Cyrl-RS"/>
        </w:rPr>
        <w:t>у временском интервалу од 20</w:t>
      </w:r>
      <w:r w:rsidR="00ED28DC">
        <w:rPr>
          <w:rFonts w:ascii="Tahoma" w:hAnsi="Tahoma" w:cs="Tahoma"/>
          <w:noProof/>
          <w:sz w:val="22"/>
          <w:szCs w:val="22"/>
          <w:lang w:val="sr-Cyrl-RS"/>
        </w:rPr>
        <w:t>19</w:t>
      </w:r>
      <w:r w:rsidRPr="00F82A7F">
        <w:rPr>
          <w:rFonts w:ascii="Tahoma" w:hAnsi="Tahoma" w:cs="Tahoma"/>
          <w:noProof/>
          <w:sz w:val="22"/>
          <w:szCs w:val="22"/>
          <w:lang w:val="sr-Cyrl-RS"/>
        </w:rPr>
        <w:t>. до 202</w:t>
      </w:r>
      <w:r w:rsidR="00ED28DC">
        <w:rPr>
          <w:rFonts w:ascii="Tahoma" w:hAnsi="Tahoma" w:cs="Tahoma"/>
          <w:noProof/>
          <w:sz w:val="22"/>
          <w:szCs w:val="22"/>
          <w:lang w:val="sr-Cyrl-RS"/>
        </w:rPr>
        <w:t>1</w:t>
      </w:r>
      <w:r w:rsidRPr="00F82A7F">
        <w:rPr>
          <w:rFonts w:ascii="Tahoma" w:hAnsi="Tahoma" w:cs="Tahoma"/>
          <w:noProof/>
          <w:sz w:val="22"/>
          <w:szCs w:val="22"/>
          <w:lang w:val="sr-Cyrl-RS"/>
        </w:rPr>
        <w:t xml:space="preserve">. </w:t>
      </w:r>
      <w:r w:rsidR="001F0B82">
        <w:rPr>
          <w:rFonts w:ascii="Tahoma" w:hAnsi="Tahoma" w:cs="Tahoma"/>
          <w:noProof/>
          <w:sz w:val="22"/>
          <w:szCs w:val="22"/>
          <w:lang w:val="sr-Cyrl-RS"/>
        </w:rPr>
        <w:t>представљен</w:t>
      </w:r>
      <w:r w:rsidR="00ED28DC">
        <w:rPr>
          <w:rFonts w:ascii="Tahoma" w:hAnsi="Tahoma" w:cs="Tahoma"/>
          <w:noProof/>
          <w:sz w:val="22"/>
          <w:szCs w:val="22"/>
          <w:lang w:val="sr-Cyrl-RS"/>
        </w:rPr>
        <w:t xml:space="preserve"> је кроз табеларни приказ бр. 5.</w:t>
      </w:r>
    </w:p>
    <w:p w14:paraId="734B2B81" w14:textId="77777777" w:rsidR="0033428F" w:rsidRDefault="00ED28DC" w:rsidP="00ED28DC">
      <w:pPr>
        <w:spacing w:after="160" w:line="254" w:lineRule="auto"/>
        <w:jc w:val="both"/>
        <w:rPr>
          <w:rFonts w:ascii="Tahoma" w:hAnsi="Tahoma" w:cs="Tahoma"/>
          <w:bCs/>
          <w:iCs/>
          <w:sz w:val="22"/>
          <w:szCs w:val="22"/>
          <w:lang w:val="sr-Cyrl-BA"/>
        </w:rPr>
      </w:pPr>
      <w:r w:rsidRPr="00236987">
        <w:rPr>
          <w:rFonts w:ascii="Tahoma" w:hAnsi="Tahoma" w:cs="Tahoma"/>
          <w:b/>
          <w:iCs/>
          <w:sz w:val="22"/>
          <w:szCs w:val="22"/>
          <w:lang w:val="sr-Cyrl-BA"/>
        </w:rPr>
        <w:t xml:space="preserve">Табела бр. </w:t>
      </w:r>
      <w:r>
        <w:rPr>
          <w:rFonts w:ascii="Tahoma" w:hAnsi="Tahoma" w:cs="Tahoma"/>
          <w:b/>
          <w:iCs/>
          <w:sz w:val="22"/>
          <w:szCs w:val="22"/>
          <w:lang w:val="sr-Cyrl-BA"/>
        </w:rPr>
        <w:t>5</w:t>
      </w:r>
      <w:r w:rsidRPr="00236987">
        <w:rPr>
          <w:rFonts w:ascii="Tahoma" w:hAnsi="Tahoma" w:cs="Tahoma"/>
          <w:b/>
          <w:iCs/>
          <w:sz w:val="22"/>
          <w:szCs w:val="22"/>
          <w:lang w:val="sr-Cyrl-BA"/>
        </w:rPr>
        <w:t>.</w:t>
      </w:r>
      <w:r w:rsidRPr="00236987">
        <w:rPr>
          <w:rFonts w:ascii="Tahoma" w:hAnsi="Tahoma" w:cs="Tahoma"/>
          <w:bCs/>
          <w:iCs/>
          <w:sz w:val="22"/>
          <w:szCs w:val="22"/>
          <w:lang w:val="sr-Cyrl-BA"/>
        </w:rPr>
        <w:t xml:space="preserve"> </w:t>
      </w:r>
      <w:r w:rsidR="00E41100">
        <w:rPr>
          <w:rFonts w:ascii="Tahoma" w:hAnsi="Tahoma" w:cs="Tahoma"/>
          <w:bCs/>
          <w:iCs/>
          <w:sz w:val="22"/>
          <w:szCs w:val="22"/>
          <w:lang w:val="sr-Cyrl-BA"/>
        </w:rPr>
        <w:t xml:space="preserve">Извршење буџета </w:t>
      </w:r>
      <w:r w:rsidR="00AC01B2">
        <w:rPr>
          <w:rFonts w:ascii="Tahoma" w:hAnsi="Tahoma" w:cs="Tahoma"/>
          <w:bCs/>
          <w:iCs/>
          <w:sz w:val="22"/>
          <w:szCs w:val="22"/>
          <w:lang w:val="sr-Cyrl-BA"/>
        </w:rPr>
        <w:t xml:space="preserve">општине </w:t>
      </w:r>
      <w:r w:rsidR="00EA2709">
        <w:rPr>
          <w:rFonts w:ascii="Tahoma" w:hAnsi="Tahoma" w:cs="Tahoma"/>
          <w:bCs/>
          <w:iCs/>
          <w:sz w:val="22"/>
          <w:szCs w:val="22"/>
          <w:lang w:val="sr-Cyrl-BA"/>
        </w:rPr>
        <w:t>Смедеревска Паланка</w:t>
      </w:r>
      <w:r>
        <w:rPr>
          <w:rFonts w:ascii="Tahoma" w:hAnsi="Tahoma" w:cs="Tahoma"/>
          <w:bCs/>
          <w:iCs/>
          <w:sz w:val="22"/>
          <w:szCs w:val="22"/>
          <w:lang w:val="sr-Cyrl-BA"/>
        </w:rPr>
        <w:t xml:space="preserve"> у временском периоду 2019-2021 </w:t>
      </w:r>
      <w:r w:rsidR="00E41100">
        <w:rPr>
          <w:rFonts w:ascii="Tahoma" w:hAnsi="Tahoma" w:cs="Tahoma"/>
          <w:bCs/>
          <w:iCs/>
          <w:sz w:val="22"/>
          <w:szCs w:val="22"/>
          <w:lang w:val="sr-Cyrl-BA"/>
        </w:rPr>
        <w:t>по економској класификацији расхода (на трећем нивоу рашчлањавања)</w:t>
      </w:r>
      <w:r>
        <w:rPr>
          <w:rFonts w:ascii="Tahoma" w:hAnsi="Tahoma" w:cs="Tahoma"/>
          <w:bCs/>
          <w:iCs/>
          <w:sz w:val="22"/>
          <w:szCs w:val="22"/>
          <w:lang w:val="sr-Cyrl-BA"/>
        </w:rPr>
        <w:t xml:space="preserve">  </w:t>
      </w:r>
    </w:p>
    <w:p w14:paraId="3299DBDC" w14:textId="54198D36" w:rsidR="00ED28DC" w:rsidRDefault="00ED28DC" w:rsidP="00ED28DC">
      <w:pPr>
        <w:spacing w:after="160" w:line="254" w:lineRule="auto"/>
        <w:jc w:val="both"/>
        <w:rPr>
          <w:rFonts w:ascii="Tahoma" w:hAnsi="Tahoma" w:cs="Tahoma"/>
          <w:bCs/>
          <w:iCs/>
          <w:sz w:val="22"/>
          <w:szCs w:val="22"/>
          <w:lang w:val="sr-Cyrl-BA"/>
        </w:rPr>
      </w:pPr>
      <w:r>
        <w:rPr>
          <w:rFonts w:ascii="Tahoma" w:hAnsi="Tahoma" w:cs="Tahoma"/>
          <w:bCs/>
          <w:iCs/>
          <w:sz w:val="22"/>
          <w:szCs w:val="22"/>
          <w:lang w:val="sr-Cyrl-BA"/>
        </w:rPr>
        <w:t xml:space="preserve">                                                                                  </w:t>
      </w:r>
    </w:p>
    <w:p w14:paraId="551C16BE" w14:textId="77777777" w:rsidR="00397AC9" w:rsidRPr="00C37A18" w:rsidRDefault="00397AC9" w:rsidP="00397AC9">
      <w:pPr>
        <w:spacing w:after="160" w:line="254" w:lineRule="auto"/>
        <w:jc w:val="right"/>
        <w:rPr>
          <w:rFonts w:ascii="Tahoma" w:hAnsi="Tahoma" w:cs="Tahoma"/>
          <w:bCs/>
          <w:iCs/>
          <w:sz w:val="16"/>
          <w:szCs w:val="16"/>
          <w:lang w:val="sr-Cyrl-BA"/>
        </w:rPr>
      </w:pPr>
      <w:r w:rsidRPr="00C37A18">
        <w:rPr>
          <w:rFonts w:ascii="Tahoma" w:hAnsi="Tahoma" w:cs="Tahoma"/>
          <w:bCs/>
          <w:iCs/>
          <w:sz w:val="16"/>
          <w:szCs w:val="16"/>
          <w:lang w:val="sr-Cyrl-BA"/>
        </w:rPr>
        <w:t xml:space="preserve">    у 000 динара</w:t>
      </w:r>
    </w:p>
    <w:tbl>
      <w:tblPr>
        <w:tblW w:w="10530" w:type="dxa"/>
        <w:tblInd w:w="-545" w:type="dxa"/>
        <w:tblLook w:val="04A0" w:firstRow="1" w:lastRow="0" w:firstColumn="1" w:lastColumn="0" w:noHBand="0" w:noVBand="1"/>
      </w:tblPr>
      <w:tblGrid>
        <w:gridCol w:w="1170"/>
        <w:gridCol w:w="1170"/>
        <w:gridCol w:w="1151"/>
        <w:gridCol w:w="1097"/>
        <w:gridCol w:w="1172"/>
        <w:gridCol w:w="1259"/>
        <w:gridCol w:w="1171"/>
        <w:gridCol w:w="1170"/>
        <w:gridCol w:w="1170"/>
      </w:tblGrid>
      <w:tr w:rsidR="00D45DD5" w:rsidRPr="00545A61" w14:paraId="1AF84053" w14:textId="77777777" w:rsidTr="00F7246C">
        <w:trPr>
          <w:trHeight w:val="13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5D2E617F" w14:textId="77777777" w:rsidR="00D45DD5" w:rsidRPr="00D45DD5" w:rsidRDefault="00D45DD5" w:rsidP="00D45DD5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Година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575F2366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411000 - Плате, додаци и накнаде запослених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77DDDDDD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412000 - Социјални доприноси на терет послодавца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15955103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413000 - Накнаде у натури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1C519EF5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414000 - Социјална давања запосленима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024BDFB2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415000 - Накнада трошкова за запослене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33D1561A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416000 - Награде запосленима и остали посебни расходи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00E10442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421000 - Стални трошкови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536D162B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422000 - Трошкови путовања</w:t>
            </w:r>
          </w:p>
        </w:tc>
      </w:tr>
      <w:tr w:rsidR="00D45DD5" w:rsidRPr="00545A61" w14:paraId="5229384C" w14:textId="77777777" w:rsidTr="00A5228D">
        <w:trPr>
          <w:trHeight w:val="33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60C8" w14:textId="77777777" w:rsidR="00D45DD5" w:rsidRPr="00D45DD5" w:rsidRDefault="00D45DD5" w:rsidP="00D45DD5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5AE13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327,737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3EB70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58,521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C0E0A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4,103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3741F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22,633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A7E9C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5,081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80D1A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5,555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B5D88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115,554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0285C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1,737</w:t>
            </w:r>
          </w:p>
        </w:tc>
      </w:tr>
      <w:tr w:rsidR="00D45DD5" w:rsidRPr="00545A61" w14:paraId="5D452162" w14:textId="77777777" w:rsidTr="00A5228D">
        <w:trPr>
          <w:trHeight w:val="27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A483" w14:textId="77777777" w:rsidR="00D45DD5" w:rsidRPr="00D45DD5" w:rsidRDefault="00D45DD5" w:rsidP="00D45DD5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0F474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336,960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EEF31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56,407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AF79B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2,844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9AFC1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14,305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84CAA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3,330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1EF86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2,957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EB263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118,135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E371C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927</w:t>
            </w:r>
          </w:p>
        </w:tc>
      </w:tr>
      <w:tr w:rsidR="00D45DD5" w:rsidRPr="00545A61" w14:paraId="5C49B66E" w14:textId="77777777" w:rsidTr="00A5228D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A23D" w14:textId="77777777" w:rsidR="00D45DD5" w:rsidRPr="00D45DD5" w:rsidRDefault="00D45DD5" w:rsidP="00D45DD5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2DEBD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371,235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7FE09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61,618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95F08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3,525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FA5D9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16,778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A5DE9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6,240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172A8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4,993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88E05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136,175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D1A61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873</w:t>
            </w:r>
          </w:p>
        </w:tc>
      </w:tr>
      <w:tr w:rsidR="00A5228D" w:rsidRPr="00545A61" w14:paraId="761938AE" w14:textId="77777777" w:rsidTr="00A5228D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886D6" w14:textId="77777777" w:rsidR="00D45DD5" w:rsidRPr="00D45DD5" w:rsidRDefault="00D45DD5" w:rsidP="00D45DD5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D89704B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1,035,932</w:t>
            </w:r>
          </w:p>
        </w:tc>
        <w:tc>
          <w:tcPr>
            <w:tcW w:w="11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CA5E210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176,546</w:t>
            </w:r>
          </w:p>
        </w:tc>
        <w:tc>
          <w:tcPr>
            <w:tcW w:w="10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2DE3A2F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10,472</w:t>
            </w:r>
          </w:p>
        </w:tc>
        <w:tc>
          <w:tcPr>
            <w:tcW w:w="11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26AE3A8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53,716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9AC81EB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14,651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A00DEB4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13,505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E6C5A0F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369,864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DC7D3E7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3,537</w:t>
            </w:r>
          </w:p>
        </w:tc>
      </w:tr>
    </w:tbl>
    <w:p w14:paraId="41F34C41" w14:textId="77777777" w:rsidR="00EA13CF" w:rsidRDefault="00EA13CF" w:rsidP="00397AC9">
      <w:pPr>
        <w:spacing w:after="160" w:line="254" w:lineRule="auto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</w:p>
    <w:tbl>
      <w:tblPr>
        <w:tblW w:w="10530" w:type="dxa"/>
        <w:tblInd w:w="-545" w:type="dxa"/>
        <w:tblLook w:val="04A0" w:firstRow="1" w:lastRow="0" w:firstColumn="1" w:lastColumn="0" w:noHBand="0" w:noVBand="1"/>
      </w:tblPr>
      <w:tblGrid>
        <w:gridCol w:w="1166"/>
        <w:gridCol w:w="1170"/>
        <w:gridCol w:w="1168"/>
        <w:gridCol w:w="1079"/>
        <w:gridCol w:w="1168"/>
        <w:gridCol w:w="1258"/>
        <w:gridCol w:w="1176"/>
        <w:gridCol w:w="1176"/>
        <w:gridCol w:w="1169"/>
      </w:tblGrid>
      <w:tr w:rsidR="00990890" w:rsidRPr="00545A61" w14:paraId="00E1A9CF" w14:textId="77777777" w:rsidTr="00F7246C">
        <w:trPr>
          <w:trHeight w:val="127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76A3A0D7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423000 - Услуге по уговору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7E5E55E8" w14:textId="22314676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 xml:space="preserve">424000 </w:t>
            </w:r>
            <w:r w:rsidR="00990890" w:rsidRPr="00545A61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–</w:t>
            </w: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 xml:space="preserve"> Специјализ</w:t>
            </w:r>
            <w:r w:rsidR="00990890" w:rsidRPr="00545A61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.</w:t>
            </w: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 xml:space="preserve"> услуге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0412A497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425000 - Текуће поправке и одржавање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5A40D958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426000 - Материјал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04DEF06B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441000 - Отплата камата домаћим пословним банкама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77B9FE7A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444000 - Пратећи трошкови задуживања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356484B5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451000 - Субвенције јавним нефинанс. предузећима и организац.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6C43ED4A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454000 - Субвенције приватним предузећима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04F33269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463000 - Трансфери осталим нивоима власти</w:t>
            </w:r>
          </w:p>
        </w:tc>
      </w:tr>
      <w:tr w:rsidR="00990890" w:rsidRPr="00545A61" w14:paraId="48E19691" w14:textId="77777777" w:rsidTr="00990890">
        <w:trPr>
          <w:trHeight w:val="339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C1E7F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71,610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AE619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46,074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A2B1D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50,424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4F62B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37,828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48232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2,223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3A94E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1,250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2F9F8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83,141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C5078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0054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156,653</w:t>
            </w:r>
          </w:p>
        </w:tc>
      </w:tr>
      <w:tr w:rsidR="00990890" w:rsidRPr="00545A61" w14:paraId="3DEFDEC5" w14:textId="77777777" w:rsidTr="00990890">
        <w:trPr>
          <w:trHeight w:val="27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A22DA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71,320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7C76F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32,082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AB6AE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103,977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F0462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39,817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7EEE8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165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502D0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797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B8CF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74,003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AF78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795F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144,353</w:t>
            </w:r>
          </w:p>
        </w:tc>
      </w:tr>
      <w:tr w:rsidR="00990890" w:rsidRPr="00545A61" w14:paraId="08784125" w14:textId="77777777" w:rsidTr="00990890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1FA52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89,338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CE299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79,094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DD403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139,869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B350F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51,039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F3C3E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6F9EB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386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7101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85,805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1BE3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BC4B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164,683</w:t>
            </w:r>
          </w:p>
        </w:tc>
      </w:tr>
      <w:tr w:rsidR="00990890" w:rsidRPr="00545A61" w14:paraId="64AA774B" w14:textId="77777777" w:rsidTr="00990890">
        <w:trPr>
          <w:trHeight w:val="288"/>
        </w:trPr>
        <w:tc>
          <w:tcPr>
            <w:tcW w:w="11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867EF41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232,268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65236AE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157,250</w:t>
            </w:r>
          </w:p>
        </w:tc>
        <w:tc>
          <w:tcPr>
            <w:tcW w:w="11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B086F2D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294,270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D9DF381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128,684</w:t>
            </w:r>
          </w:p>
        </w:tc>
        <w:tc>
          <w:tcPr>
            <w:tcW w:w="11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F9373E7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2,388</w:t>
            </w:r>
          </w:p>
        </w:tc>
        <w:tc>
          <w:tcPr>
            <w:tcW w:w="12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6D24F2C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2,433</w:t>
            </w:r>
          </w:p>
        </w:tc>
        <w:tc>
          <w:tcPr>
            <w:tcW w:w="11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D33EDFA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242,949</w:t>
            </w:r>
          </w:p>
        </w:tc>
        <w:tc>
          <w:tcPr>
            <w:tcW w:w="11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C3D62FD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1,000</w:t>
            </w:r>
          </w:p>
        </w:tc>
        <w:tc>
          <w:tcPr>
            <w:tcW w:w="11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A0B7594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465,689</w:t>
            </w:r>
          </w:p>
        </w:tc>
      </w:tr>
    </w:tbl>
    <w:p w14:paraId="59E19617" w14:textId="77777777" w:rsidR="00D45DD5" w:rsidRDefault="00D45DD5" w:rsidP="00397AC9">
      <w:pPr>
        <w:spacing w:after="160" w:line="254" w:lineRule="auto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</w:p>
    <w:tbl>
      <w:tblPr>
        <w:tblW w:w="10505" w:type="dxa"/>
        <w:tblInd w:w="-545" w:type="dxa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68"/>
        <w:gridCol w:w="1147"/>
      </w:tblGrid>
      <w:tr w:rsidR="00F7246C" w:rsidRPr="00545A61" w14:paraId="154C5B17" w14:textId="77777777" w:rsidTr="00450A48">
        <w:trPr>
          <w:trHeight w:val="145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5687319C" w14:textId="0DE1F935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464000 - Дотације орг</w:t>
            </w:r>
            <w:r w:rsidR="00F7246C" w:rsidRPr="00545A61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.</w:t>
            </w: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 xml:space="preserve"> за обавезно социјално осигурање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1B871992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465000 - Остале дотације и трансфери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28ECBF19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472000 - Накнаде за социјалну заштиту из буџета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1D6BD962" w14:textId="6FB8052D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481000 - Дотације невладиним организац</w:t>
            </w:r>
            <w:r w:rsidR="00F7246C" w:rsidRPr="00545A61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4D7F3A06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482000 - Порези, обавезне таксе, казне, пенали и камате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24E1E594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483000 - Новчане казне и пенали по решењу судова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093119BD" w14:textId="1F86C87A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484000 - Накнада штете за пов</w:t>
            </w:r>
            <w:r w:rsidR="00F7246C" w:rsidRPr="00545A61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.</w:t>
            </w: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 xml:space="preserve"> или штету наст</w:t>
            </w:r>
            <w:r w:rsidR="00450A48" w:rsidRPr="00545A61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.</w:t>
            </w: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 xml:space="preserve"> услед елем непогода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3BB51943" w14:textId="50C7A715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485000 - Накнада штете за пов</w:t>
            </w:r>
            <w:r w:rsidR="00450A48" w:rsidRPr="00545A61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.</w:t>
            </w: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 xml:space="preserve"> или штету нанету од стране држ</w:t>
            </w:r>
            <w:r w:rsidR="00F7246C" w:rsidRPr="00545A61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.</w:t>
            </w: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 xml:space="preserve"> органа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2D97029F" w14:textId="77777777" w:rsidR="00D45DD5" w:rsidRPr="00D45DD5" w:rsidRDefault="00D45DD5" w:rsidP="00D45DD5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511000 - Зграде и грађевински објекти</w:t>
            </w:r>
          </w:p>
        </w:tc>
      </w:tr>
      <w:tr w:rsidR="00F7246C" w:rsidRPr="00545A61" w14:paraId="2CDA8762" w14:textId="77777777" w:rsidTr="00F7246C">
        <w:trPr>
          <w:trHeight w:val="33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4637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7,625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5830C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33,895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13FBE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18,791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75ACE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21,166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35132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1,219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EEC7E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27,193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36508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7B3C8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8CB42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11,440</w:t>
            </w:r>
          </w:p>
        </w:tc>
      </w:tr>
      <w:tr w:rsidR="00F7246C" w:rsidRPr="00545A61" w14:paraId="411AE56D" w14:textId="77777777" w:rsidTr="00F7246C">
        <w:trPr>
          <w:trHeight w:val="27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7D5D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10,308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E2C8E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8,891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02045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10,995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2EB5A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19,946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BD84E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5DE6F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19,184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327B6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72D5D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4,695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3FDC3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44,045</w:t>
            </w:r>
          </w:p>
        </w:tc>
      </w:tr>
      <w:tr w:rsidR="00F7246C" w:rsidRPr="00545A61" w14:paraId="1524FDCF" w14:textId="77777777" w:rsidTr="00F7246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5A4B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8,359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C4F7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509C6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24,645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4ED2A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36,736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B1E07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388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BCE1C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25,490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EBA4E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DE34D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5,528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5FE2E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48,536</w:t>
            </w:r>
          </w:p>
        </w:tc>
      </w:tr>
      <w:tr w:rsidR="00545A61" w:rsidRPr="00545A61" w14:paraId="62D194FC" w14:textId="77777777" w:rsidTr="00F7246C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729B289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26,292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5B2FE6C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43,286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ED7481A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54,431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3F6099B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77,848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0DB31F7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1,840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4187C1D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71,867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A5E44E4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276</w:t>
            </w:r>
          </w:p>
        </w:tc>
        <w:tc>
          <w:tcPr>
            <w:tcW w:w="11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D85CF4D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10,223</w:t>
            </w:r>
          </w:p>
        </w:tc>
        <w:tc>
          <w:tcPr>
            <w:tcW w:w="11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6E62CF" w14:textId="77777777" w:rsidR="00D45DD5" w:rsidRPr="00D45DD5" w:rsidRDefault="00D45DD5" w:rsidP="00D45DD5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D45DD5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104,021</w:t>
            </w:r>
          </w:p>
        </w:tc>
      </w:tr>
    </w:tbl>
    <w:p w14:paraId="10CC22C9" w14:textId="77777777" w:rsidR="00D45DD5" w:rsidRDefault="00D45DD5" w:rsidP="00397AC9">
      <w:pPr>
        <w:spacing w:after="160" w:line="254" w:lineRule="auto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</w:p>
    <w:tbl>
      <w:tblPr>
        <w:tblW w:w="8190" w:type="dxa"/>
        <w:tblInd w:w="-545" w:type="dxa"/>
        <w:tblLook w:val="04A0" w:firstRow="1" w:lastRow="0" w:firstColumn="1" w:lastColumn="0" w:noHBand="0" w:noVBand="1"/>
      </w:tblPr>
      <w:tblGrid>
        <w:gridCol w:w="1108"/>
        <w:gridCol w:w="1168"/>
        <w:gridCol w:w="1333"/>
        <w:gridCol w:w="1161"/>
        <w:gridCol w:w="1170"/>
        <w:gridCol w:w="2250"/>
      </w:tblGrid>
      <w:tr w:rsidR="00450A48" w:rsidRPr="00545A61" w14:paraId="455BAB64" w14:textId="77777777" w:rsidTr="00450A48">
        <w:trPr>
          <w:trHeight w:val="129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31FD5C42" w14:textId="77777777" w:rsidR="00A5228D" w:rsidRPr="00A5228D" w:rsidRDefault="00A5228D" w:rsidP="00A5228D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lastRenderedPageBreak/>
              <w:t>512000 - Машина и опрема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5FC90DDE" w14:textId="77777777" w:rsidR="00A5228D" w:rsidRPr="00A5228D" w:rsidRDefault="00A5228D" w:rsidP="00A5228D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514000 - Култивисана имовина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3F25D8D6" w14:textId="77777777" w:rsidR="00A5228D" w:rsidRPr="00A5228D" w:rsidRDefault="00A5228D" w:rsidP="00A5228D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515000 - Нематеријална имовина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29FC65C1" w14:textId="77777777" w:rsidR="00A5228D" w:rsidRPr="00A5228D" w:rsidRDefault="00A5228D" w:rsidP="00A5228D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522000 - Залихе производње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52D8790D" w14:textId="77777777" w:rsidR="00A5228D" w:rsidRPr="00A5228D" w:rsidRDefault="00A5228D" w:rsidP="00A5228D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541000 - Земљиште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9BC2E6"/>
            <w:vAlign w:val="center"/>
            <w:hideMark/>
          </w:tcPr>
          <w:p w14:paraId="55A8BCB1" w14:textId="77777777" w:rsidR="00A5228D" w:rsidRPr="00A5228D" w:rsidRDefault="00A5228D" w:rsidP="00A5228D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УКУПНО</w:t>
            </w:r>
          </w:p>
        </w:tc>
      </w:tr>
      <w:tr w:rsidR="00450A48" w:rsidRPr="00545A61" w14:paraId="3BF7A721" w14:textId="77777777" w:rsidTr="00450A48">
        <w:trPr>
          <w:trHeight w:val="339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AF40B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17,178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1263B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49647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496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5EA66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2,446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E2545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4,525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89638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1,136,098</w:t>
            </w:r>
          </w:p>
        </w:tc>
      </w:tr>
      <w:tr w:rsidR="00450A48" w:rsidRPr="00545A61" w14:paraId="72A05A5E" w14:textId="77777777" w:rsidTr="00450A48">
        <w:trPr>
          <w:trHeight w:val="27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36D17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19,761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CC581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970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1978B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973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F7363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1,363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A3FCF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AD6E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1,143,793</w:t>
            </w:r>
          </w:p>
        </w:tc>
      </w:tr>
      <w:tr w:rsidR="00450A48" w:rsidRPr="00545A61" w14:paraId="143B3E6B" w14:textId="77777777" w:rsidTr="00450A48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7C50F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48,881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F7C23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805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9FA38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350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11654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1,894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26D9A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noProof/>
                <w:sz w:val="14"/>
                <w:szCs w:val="14"/>
                <w:lang w:val="sr-Cyrl-RS"/>
              </w:rPr>
              <w:t>6,121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AC06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1,421,160</w:t>
            </w:r>
          </w:p>
        </w:tc>
      </w:tr>
      <w:tr w:rsidR="00450A48" w:rsidRPr="00545A61" w14:paraId="7BC7425A" w14:textId="77777777" w:rsidTr="00450A48">
        <w:trPr>
          <w:trHeight w:val="288"/>
        </w:trPr>
        <w:tc>
          <w:tcPr>
            <w:tcW w:w="11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FD6595A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85,820</w:t>
            </w:r>
          </w:p>
        </w:tc>
        <w:tc>
          <w:tcPr>
            <w:tcW w:w="11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D2E9A4E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1,775</w:t>
            </w:r>
          </w:p>
        </w:tc>
        <w:tc>
          <w:tcPr>
            <w:tcW w:w="13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FE25630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1,819</w:t>
            </w:r>
          </w:p>
        </w:tc>
        <w:tc>
          <w:tcPr>
            <w:tcW w:w="11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9113D96" w14:textId="66AFDBC6" w:rsidR="00A5228D" w:rsidRPr="00A5228D" w:rsidRDefault="008E5E55" w:rsidP="008E5E55">
            <w:pPr>
              <w:jc w:val="right"/>
              <w:rPr>
                <w:rFonts w:ascii="Tahoma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545A61">
              <w:rPr>
                <w:rFonts w:ascii="Tahoma" w:hAnsi="Tahoma" w:cs="Tahoma"/>
                <w:b/>
                <w:bCs/>
                <w:noProof/>
                <w:sz w:val="14"/>
                <w:szCs w:val="14"/>
                <w:lang w:val="sr-Cyrl-RS"/>
              </w:rPr>
              <w:t>5,703</w:t>
            </w:r>
            <w:r w:rsidR="00A5228D" w:rsidRPr="00A5228D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5748EA4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10,696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0F9AD" w14:textId="77777777" w:rsidR="00A5228D" w:rsidRPr="00A5228D" w:rsidRDefault="00A5228D" w:rsidP="00A5228D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</w:pPr>
            <w:r w:rsidRPr="00A5228D">
              <w:rPr>
                <w:rFonts w:ascii="Tahoma" w:eastAsia="Times New Roman" w:hAnsi="Tahoma" w:cs="Tahoma"/>
                <w:b/>
                <w:bCs/>
                <w:noProof/>
                <w:sz w:val="14"/>
                <w:szCs w:val="14"/>
                <w:lang w:val="sr-Cyrl-RS"/>
              </w:rPr>
              <w:t>3,701,051</w:t>
            </w:r>
          </w:p>
        </w:tc>
      </w:tr>
    </w:tbl>
    <w:p w14:paraId="21096282" w14:textId="77777777" w:rsidR="008D1689" w:rsidRPr="005A7593" w:rsidRDefault="008D1689" w:rsidP="00EC20A6">
      <w:pPr>
        <w:spacing w:after="160" w:line="254" w:lineRule="auto"/>
        <w:rPr>
          <w:rFonts w:ascii="Tahoma" w:hAnsi="Tahoma" w:cs="Tahoma"/>
          <w:bCs/>
          <w:iCs/>
          <w:sz w:val="18"/>
          <w:szCs w:val="18"/>
          <w:lang w:val="sr-Cyrl-BA"/>
        </w:rPr>
      </w:pPr>
    </w:p>
    <w:p w14:paraId="51AA01B8" w14:textId="7ACEB8A5" w:rsidR="00EC20A6" w:rsidRDefault="00EC20A6" w:rsidP="00EC20A6">
      <w:pPr>
        <w:spacing w:after="120"/>
        <w:jc w:val="both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  <w:r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Извор: Одлуке о завршним рачунима буџета </w:t>
      </w:r>
      <w:r w:rsidR="00A57EDF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општина </w:t>
      </w:r>
      <w:r w:rsidR="007A49C1">
        <w:rPr>
          <w:rFonts w:ascii="Tahoma" w:hAnsi="Tahoma" w:cs="Tahoma"/>
          <w:bCs/>
          <w:iCs/>
          <w:noProof/>
          <w:sz w:val="18"/>
          <w:szCs w:val="18"/>
          <w:lang w:val="sr-Cyrl-RS"/>
        </w:rPr>
        <w:t>С</w:t>
      </w:r>
      <w:r w:rsidR="00EA2709">
        <w:rPr>
          <w:rFonts w:ascii="Tahoma" w:hAnsi="Tahoma" w:cs="Tahoma"/>
          <w:bCs/>
          <w:iCs/>
          <w:noProof/>
          <w:sz w:val="18"/>
          <w:szCs w:val="18"/>
          <w:lang w:val="sr-Cyrl-RS"/>
        </w:rPr>
        <w:t>медеревска Паланка</w:t>
      </w:r>
      <w:r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2019-2021</w:t>
      </w:r>
      <w:r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</w:t>
      </w:r>
      <w:r w:rsidR="0033428F">
        <w:rPr>
          <w:rFonts w:ascii="Tahoma" w:hAnsi="Tahoma" w:cs="Tahoma"/>
          <w:bCs/>
          <w:iCs/>
          <w:noProof/>
          <w:sz w:val="18"/>
          <w:szCs w:val="18"/>
          <w:lang w:val="sr-Cyrl-RS"/>
        </w:rPr>
        <w:t>–</w:t>
      </w:r>
      <w:r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прорачун</w:t>
      </w:r>
    </w:p>
    <w:p w14:paraId="6E18B033" w14:textId="77777777" w:rsidR="0033428F" w:rsidRDefault="0033428F" w:rsidP="00EC20A6">
      <w:pPr>
        <w:spacing w:after="120"/>
        <w:jc w:val="both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</w:p>
    <w:p w14:paraId="6CFF33F3" w14:textId="42267A26" w:rsidR="00A03152" w:rsidRPr="00112DD5" w:rsidRDefault="00A03152" w:rsidP="004F59CB">
      <w:pPr>
        <w:pStyle w:val="NormalWeb"/>
        <w:numPr>
          <w:ilvl w:val="0"/>
          <w:numId w:val="19"/>
        </w:numPr>
        <w:spacing w:before="0" w:beforeAutospacing="0" w:after="160" w:line="259" w:lineRule="auto"/>
        <w:ind w:left="0"/>
        <w:jc w:val="both"/>
        <w:rPr>
          <w:rFonts w:ascii="Tahoma" w:hAnsi="Tahoma" w:cs="Tahoma"/>
          <w:noProof/>
          <w:lang w:val="sr-Cyrl-RS"/>
        </w:rPr>
      </w:pPr>
      <w:r w:rsidRPr="00112DD5">
        <w:rPr>
          <w:rFonts w:ascii="Tahoma" w:hAnsi="Tahoma" w:cs="Tahoma"/>
          <w:noProof/>
          <w:lang w:val="sr-Cyrl-RS"/>
        </w:rPr>
        <w:t xml:space="preserve">Категорија </w:t>
      </w:r>
      <w:r w:rsidRPr="00112DD5">
        <w:rPr>
          <w:rFonts w:ascii="Tahoma" w:hAnsi="Tahoma" w:cs="Tahoma"/>
          <w:b/>
          <w:bCs/>
          <w:noProof/>
          <w:sz w:val="22"/>
          <w:szCs w:val="22"/>
          <w:lang w:val="sr-Cyrl-RS"/>
        </w:rPr>
        <w:t>410000 - Расходи за запослене</w:t>
      </w:r>
      <w:r w:rsidRPr="00112DD5">
        <w:rPr>
          <w:rFonts w:ascii="Tahoma" w:hAnsi="Tahoma" w:cs="Tahoma"/>
          <w:noProof/>
          <w:sz w:val="22"/>
          <w:szCs w:val="22"/>
          <w:lang w:val="sr-Cyrl-RS"/>
        </w:rPr>
        <w:t xml:space="preserve"> на економским класификацији 411 – Плате, додаци и накнаде запослених, 412 – Социјални доприноси на терет послодавца, и друга давања на класификацијама 413-416 са извршењем од </w:t>
      </w:r>
      <w:r w:rsidR="00BF4923">
        <w:rPr>
          <w:rFonts w:ascii="Tahoma" w:hAnsi="Tahoma" w:cs="Tahoma"/>
          <w:noProof/>
          <w:sz w:val="22"/>
          <w:szCs w:val="22"/>
          <w:lang w:val="sr-Cyrl-RS"/>
        </w:rPr>
        <w:t>1.305</w:t>
      </w:r>
      <w:r w:rsidRPr="00112DD5">
        <w:rPr>
          <w:rFonts w:ascii="Tahoma" w:hAnsi="Tahoma" w:cs="Tahoma"/>
          <w:noProof/>
          <w:sz w:val="22"/>
          <w:szCs w:val="22"/>
          <w:lang w:val="sr-Cyrl-RS"/>
        </w:rPr>
        <w:t xml:space="preserve"> милиона динара у току анализираног периода од 3 године, представљају </w:t>
      </w:r>
      <w:r w:rsidR="0007788E">
        <w:rPr>
          <w:rFonts w:ascii="Tahoma" w:hAnsi="Tahoma" w:cs="Tahoma"/>
          <w:noProof/>
          <w:sz w:val="22"/>
          <w:szCs w:val="22"/>
          <w:lang w:val="sr-Cyrl-RS"/>
        </w:rPr>
        <w:t>чак 35,3</w:t>
      </w:r>
      <w:r w:rsidRPr="00112DD5">
        <w:rPr>
          <w:rFonts w:ascii="Tahoma" w:hAnsi="Tahoma" w:cs="Tahoma"/>
          <w:noProof/>
          <w:sz w:val="22"/>
          <w:szCs w:val="22"/>
          <w:lang w:val="sr-Cyrl-RS"/>
        </w:rPr>
        <w:t xml:space="preserve">% укупних расхода и издатака буџета општине </w:t>
      </w:r>
      <w:r w:rsidR="00015814" w:rsidRPr="00112DD5">
        <w:rPr>
          <w:rFonts w:ascii="Tahoma" w:hAnsi="Tahoma" w:cs="Tahoma"/>
          <w:noProof/>
          <w:sz w:val="22"/>
          <w:szCs w:val="22"/>
          <w:lang w:val="sr-Cyrl-RS"/>
        </w:rPr>
        <w:t>С</w:t>
      </w:r>
      <w:r w:rsidR="0007788E">
        <w:rPr>
          <w:rFonts w:ascii="Tahoma" w:hAnsi="Tahoma" w:cs="Tahoma"/>
          <w:noProof/>
          <w:sz w:val="22"/>
          <w:szCs w:val="22"/>
          <w:lang w:val="sr-Cyrl-RS"/>
        </w:rPr>
        <w:t>медеревска Паланка</w:t>
      </w:r>
      <w:r w:rsidRPr="00112DD5">
        <w:rPr>
          <w:rFonts w:ascii="Tahoma" w:hAnsi="Tahoma" w:cs="Tahoma"/>
          <w:noProof/>
          <w:sz w:val="22"/>
          <w:szCs w:val="22"/>
          <w:lang w:val="sr-Cyrl-RS"/>
        </w:rPr>
        <w:t xml:space="preserve">. Ови трошкови, када је реч о зарадама, повећани су за </w:t>
      </w:r>
      <w:r w:rsidR="0007788E">
        <w:rPr>
          <w:rFonts w:ascii="Tahoma" w:hAnsi="Tahoma" w:cs="Tahoma"/>
          <w:noProof/>
          <w:sz w:val="22"/>
          <w:szCs w:val="22"/>
          <w:lang w:val="sr-Cyrl-RS"/>
        </w:rPr>
        <w:t>46,6</w:t>
      </w:r>
      <w:r w:rsidRPr="00112DD5">
        <w:rPr>
          <w:rFonts w:ascii="Tahoma" w:hAnsi="Tahoma" w:cs="Tahoma"/>
          <w:noProof/>
          <w:sz w:val="22"/>
          <w:szCs w:val="22"/>
          <w:lang w:val="sr-Cyrl-RS"/>
        </w:rPr>
        <w:t xml:space="preserve"> милиона динара односно </w:t>
      </w:r>
      <w:r w:rsidR="0007788E">
        <w:rPr>
          <w:rFonts w:ascii="Tahoma" w:hAnsi="Tahoma" w:cs="Tahoma"/>
          <w:noProof/>
          <w:sz w:val="22"/>
          <w:szCs w:val="22"/>
          <w:lang w:val="sr-Cyrl-RS"/>
        </w:rPr>
        <w:t>12</w:t>
      </w:r>
      <w:r w:rsidRPr="00112DD5">
        <w:rPr>
          <w:rFonts w:ascii="Tahoma" w:hAnsi="Tahoma" w:cs="Tahoma"/>
          <w:noProof/>
          <w:sz w:val="22"/>
          <w:szCs w:val="22"/>
          <w:lang w:val="sr-Cyrl-RS"/>
        </w:rPr>
        <w:t>%</w:t>
      </w:r>
      <w:r w:rsidR="00BF1E32">
        <w:rPr>
          <w:rFonts w:ascii="Tahoma" w:hAnsi="Tahoma" w:cs="Tahoma"/>
          <w:noProof/>
          <w:sz w:val="22"/>
          <w:szCs w:val="22"/>
          <w:lang w:val="sr-Cyrl-RS"/>
        </w:rPr>
        <w:t xml:space="preserve"> у периоду 2019-2021</w:t>
      </w:r>
      <w:r w:rsidRPr="00112DD5">
        <w:rPr>
          <w:rFonts w:ascii="Tahoma" w:hAnsi="Tahoma" w:cs="Tahoma"/>
          <w:noProof/>
          <w:sz w:val="22"/>
          <w:szCs w:val="22"/>
          <w:lang w:val="sr-Cyrl-RS"/>
        </w:rPr>
        <w:t xml:space="preserve">, као резултат повећања вредности коефицијента за обрачун и исплату плата у јавном сектору. Сва остала давања у виду накнаде у натури, социјалних давања, накнада трошкова за запослене и јубиларних награда су у границама просека за општине у Републици. У истом периоду анализе, у региону </w:t>
      </w:r>
      <w:r w:rsidR="000622E5" w:rsidRPr="00112DD5">
        <w:rPr>
          <w:rFonts w:ascii="Tahoma" w:hAnsi="Tahoma" w:cs="Tahoma"/>
          <w:noProof/>
          <w:sz w:val="22"/>
          <w:szCs w:val="22"/>
          <w:lang w:val="sr-Cyrl-RS"/>
        </w:rPr>
        <w:t>Јужне и  Источне</w:t>
      </w:r>
      <w:r w:rsidRPr="00112DD5">
        <w:rPr>
          <w:rFonts w:ascii="Tahoma" w:hAnsi="Tahoma" w:cs="Tahoma"/>
          <w:noProof/>
          <w:sz w:val="22"/>
          <w:szCs w:val="22"/>
          <w:lang w:val="sr-Cyrl-RS"/>
        </w:rPr>
        <w:t xml:space="preserve"> Србије</w:t>
      </w:r>
      <w:r w:rsidRPr="00112DD5">
        <w:rPr>
          <w:rStyle w:val="FootnoteReference"/>
          <w:rFonts w:ascii="Tahoma" w:hAnsi="Tahoma" w:cs="Tahoma"/>
          <w:noProof/>
          <w:sz w:val="22"/>
          <w:szCs w:val="22"/>
          <w:lang w:val="sr-Cyrl-RS"/>
        </w:rPr>
        <w:footnoteReference w:id="11"/>
      </w:r>
      <w:r w:rsidRPr="00112DD5">
        <w:rPr>
          <w:rFonts w:ascii="Tahoma" w:hAnsi="Tahoma" w:cs="Tahoma"/>
          <w:noProof/>
          <w:sz w:val="22"/>
          <w:szCs w:val="22"/>
          <w:lang w:val="sr-Cyrl-RS"/>
        </w:rPr>
        <w:t xml:space="preserve"> - општине, учешће ових расхода у укупном извршењу буџета општина било је </w:t>
      </w:r>
      <w:r w:rsidR="003D7075" w:rsidRPr="00112DD5">
        <w:rPr>
          <w:rFonts w:ascii="Tahoma" w:hAnsi="Tahoma" w:cs="Tahoma"/>
          <w:noProof/>
          <w:sz w:val="22"/>
          <w:szCs w:val="22"/>
          <w:lang w:val="sr-Cyrl-RS"/>
        </w:rPr>
        <w:t>28,0</w:t>
      </w:r>
      <w:r w:rsidRPr="00112DD5">
        <w:rPr>
          <w:rFonts w:ascii="Tahoma" w:hAnsi="Tahoma" w:cs="Tahoma"/>
          <w:noProof/>
          <w:sz w:val="22"/>
          <w:szCs w:val="22"/>
          <w:lang w:val="sr-Cyrl-RS"/>
        </w:rPr>
        <w:t>%.</w:t>
      </w:r>
    </w:p>
    <w:p w14:paraId="1C029284" w14:textId="07542616" w:rsidR="00E74BBA" w:rsidRPr="00625BF5" w:rsidRDefault="00E74BBA" w:rsidP="00464C01">
      <w:pPr>
        <w:pStyle w:val="NormalWeb"/>
        <w:numPr>
          <w:ilvl w:val="0"/>
          <w:numId w:val="19"/>
        </w:numPr>
        <w:spacing w:before="0" w:beforeAutospacing="0" w:after="160" w:line="259" w:lineRule="auto"/>
        <w:ind w:left="0"/>
        <w:jc w:val="both"/>
        <w:rPr>
          <w:rFonts w:ascii="Tahoma" w:hAnsi="Tahoma" w:cs="Tahoma"/>
          <w:noProof/>
          <w:lang w:val="sr-Cyrl-RS"/>
        </w:rPr>
      </w:pPr>
      <w:r w:rsidRPr="00625BF5">
        <w:rPr>
          <w:rFonts w:ascii="Tahoma" w:hAnsi="Tahoma" w:cs="Tahoma"/>
          <w:noProof/>
          <w:sz w:val="22"/>
          <w:szCs w:val="22"/>
          <w:lang w:val="sr-Cyrl-RS"/>
        </w:rPr>
        <w:t xml:space="preserve">На нивоу категорије расхода </w:t>
      </w:r>
      <w:r w:rsidRPr="00625BF5">
        <w:rPr>
          <w:rFonts w:ascii="Tahoma" w:hAnsi="Tahoma" w:cs="Tahoma"/>
          <w:b/>
          <w:bCs/>
          <w:noProof/>
          <w:sz w:val="22"/>
          <w:szCs w:val="22"/>
          <w:lang w:val="sr-Cyrl-RS"/>
        </w:rPr>
        <w:t>420000 – Коришћење услуга и роба</w:t>
      </w:r>
      <w:r w:rsidRPr="00625BF5">
        <w:rPr>
          <w:rFonts w:ascii="Tahoma" w:hAnsi="Tahoma" w:cs="Tahoma"/>
          <w:noProof/>
          <w:sz w:val="22"/>
          <w:szCs w:val="22"/>
          <w:lang w:val="sr-Cyrl-RS"/>
        </w:rPr>
        <w:t xml:space="preserve">, где припадају стални трошкови, трошкови путовања, уговорене услуге, материјали, односно текуће поправке и одржавања, углавном видимо </w:t>
      </w:r>
      <w:r w:rsidR="00B672B5" w:rsidRPr="00625BF5">
        <w:rPr>
          <w:rFonts w:ascii="Tahoma" w:hAnsi="Tahoma" w:cs="Tahoma"/>
          <w:noProof/>
          <w:sz w:val="22"/>
          <w:szCs w:val="22"/>
          <w:lang w:val="sr-Cyrl-RS"/>
        </w:rPr>
        <w:t>балансирани, узлазни</w:t>
      </w:r>
      <w:r w:rsidR="00881ACF" w:rsidRPr="00625BF5">
        <w:rPr>
          <w:rFonts w:ascii="Tahoma" w:hAnsi="Tahoma" w:cs="Tahoma"/>
          <w:noProof/>
          <w:sz w:val="22"/>
          <w:szCs w:val="22"/>
          <w:lang w:val="sr-Cyrl-RS"/>
        </w:rPr>
        <w:t xml:space="preserve"> тренд извршења</w:t>
      </w:r>
      <w:r w:rsidR="00235892" w:rsidRPr="00625BF5">
        <w:rPr>
          <w:rFonts w:ascii="Tahoma" w:hAnsi="Tahoma" w:cs="Tahoma"/>
          <w:noProof/>
          <w:sz w:val="22"/>
          <w:szCs w:val="22"/>
          <w:lang w:val="sr-Cyrl-RS"/>
        </w:rPr>
        <w:t xml:space="preserve"> у сталним трошковима, </w:t>
      </w:r>
      <w:r w:rsidR="00571241" w:rsidRPr="00625BF5">
        <w:rPr>
          <w:rFonts w:ascii="Tahoma" w:hAnsi="Tahoma" w:cs="Tahoma"/>
          <w:noProof/>
          <w:sz w:val="22"/>
          <w:szCs w:val="22"/>
          <w:lang w:val="sr-Cyrl-RS"/>
        </w:rPr>
        <w:t>посебно у делу сталних трошкова</w:t>
      </w:r>
      <w:r w:rsidR="00625BF5" w:rsidRPr="00625BF5">
        <w:rPr>
          <w:rFonts w:ascii="Tahoma" w:hAnsi="Tahoma" w:cs="Tahoma"/>
          <w:noProof/>
          <w:sz w:val="22"/>
          <w:szCs w:val="22"/>
          <w:lang w:val="sr-Cyrl-RS"/>
        </w:rPr>
        <w:t>, специјализованих услуга, односно текућих поправки</w:t>
      </w:r>
      <w:r w:rsidR="00235892" w:rsidRPr="00625BF5">
        <w:rPr>
          <w:rFonts w:ascii="Tahoma" w:hAnsi="Tahoma" w:cs="Tahoma"/>
          <w:noProof/>
          <w:sz w:val="22"/>
          <w:szCs w:val="22"/>
          <w:lang w:val="sr-Cyrl-RS"/>
        </w:rPr>
        <w:t xml:space="preserve">. </w:t>
      </w:r>
      <w:r w:rsidR="00BA21A4" w:rsidRPr="00625BF5">
        <w:rPr>
          <w:rFonts w:ascii="Tahoma" w:hAnsi="Tahoma" w:cs="Tahoma"/>
          <w:noProof/>
          <w:sz w:val="22"/>
          <w:szCs w:val="22"/>
          <w:lang w:val="sr-Cyrl-RS"/>
        </w:rPr>
        <w:t xml:space="preserve">Учешће ове категорије расхода </w:t>
      </w:r>
      <w:r w:rsidR="00822A24" w:rsidRPr="00625BF5">
        <w:rPr>
          <w:rFonts w:ascii="Tahoma" w:hAnsi="Tahoma" w:cs="Tahoma"/>
          <w:noProof/>
          <w:sz w:val="22"/>
          <w:szCs w:val="22"/>
          <w:lang w:val="sr-Cyrl-RS"/>
        </w:rPr>
        <w:t xml:space="preserve">је </w:t>
      </w:r>
      <w:r w:rsidR="00BB75A4" w:rsidRPr="00625BF5">
        <w:rPr>
          <w:rFonts w:ascii="Tahoma" w:hAnsi="Tahoma" w:cs="Tahoma"/>
          <w:noProof/>
          <w:sz w:val="22"/>
          <w:szCs w:val="22"/>
          <w:lang w:val="sr-Cyrl-RS"/>
        </w:rPr>
        <w:t>значајно</w:t>
      </w:r>
      <w:r w:rsidR="00822A24" w:rsidRPr="00625BF5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BA21A4" w:rsidRPr="00625BF5">
        <w:rPr>
          <w:rFonts w:ascii="Tahoma" w:hAnsi="Tahoma" w:cs="Tahoma"/>
          <w:noProof/>
          <w:sz w:val="22"/>
          <w:szCs w:val="22"/>
          <w:lang w:val="sr-Cyrl-RS"/>
        </w:rPr>
        <w:t xml:space="preserve">у укупно извршеним расходима и издацима буџета </w:t>
      </w:r>
      <w:r w:rsidR="00885DF3" w:rsidRPr="00625BF5">
        <w:rPr>
          <w:rFonts w:ascii="Tahoma" w:hAnsi="Tahoma" w:cs="Tahoma"/>
          <w:noProof/>
          <w:sz w:val="22"/>
          <w:szCs w:val="22"/>
          <w:lang w:val="sr-Cyrl-RS"/>
        </w:rPr>
        <w:t>општине</w:t>
      </w:r>
      <w:r w:rsidR="00BA21A4" w:rsidRPr="00625BF5">
        <w:rPr>
          <w:rFonts w:ascii="Tahoma" w:hAnsi="Tahoma" w:cs="Tahoma"/>
          <w:noProof/>
          <w:sz w:val="22"/>
          <w:szCs w:val="22"/>
          <w:lang w:val="sr-Cyrl-RS"/>
        </w:rPr>
        <w:t xml:space="preserve"> у периоду 2019-2021 </w:t>
      </w:r>
      <w:r w:rsidR="00822A24" w:rsidRPr="00625BF5">
        <w:rPr>
          <w:rFonts w:ascii="Tahoma" w:hAnsi="Tahoma" w:cs="Tahoma"/>
          <w:noProof/>
          <w:sz w:val="22"/>
          <w:szCs w:val="22"/>
          <w:lang w:val="sr-Cyrl-RS"/>
        </w:rPr>
        <w:t xml:space="preserve">и </w:t>
      </w:r>
      <w:r w:rsidR="00BA21A4" w:rsidRPr="00625BF5">
        <w:rPr>
          <w:rFonts w:ascii="Tahoma" w:hAnsi="Tahoma" w:cs="Tahoma"/>
          <w:noProof/>
          <w:sz w:val="22"/>
          <w:szCs w:val="22"/>
          <w:lang w:val="sr-Cyrl-RS"/>
        </w:rPr>
        <w:t xml:space="preserve">износи </w:t>
      </w:r>
      <w:r w:rsidR="006644E7">
        <w:rPr>
          <w:rFonts w:ascii="Tahoma" w:hAnsi="Tahoma" w:cs="Tahoma"/>
          <w:noProof/>
          <w:sz w:val="22"/>
          <w:szCs w:val="22"/>
          <w:lang w:val="sr-Cyrl-RS"/>
        </w:rPr>
        <w:t>32,0</w:t>
      </w:r>
      <w:r w:rsidR="00BA21A4" w:rsidRPr="00625BF5">
        <w:rPr>
          <w:rFonts w:ascii="Tahoma" w:hAnsi="Tahoma" w:cs="Tahoma"/>
          <w:noProof/>
          <w:sz w:val="22"/>
          <w:szCs w:val="22"/>
          <w:lang w:val="sr-Cyrl-RS"/>
        </w:rPr>
        <w:t xml:space="preserve">%, </w:t>
      </w:r>
      <w:r w:rsidR="00BB75A4" w:rsidRPr="00625BF5">
        <w:rPr>
          <w:rFonts w:ascii="Tahoma" w:hAnsi="Tahoma" w:cs="Tahoma"/>
          <w:noProof/>
          <w:sz w:val="22"/>
          <w:szCs w:val="22"/>
          <w:lang w:val="sr-Cyrl-RS"/>
        </w:rPr>
        <w:t>али</w:t>
      </w:r>
      <w:r w:rsidR="00BA21A4" w:rsidRPr="00625BF5">
        <w:rPr>
          <w:rFonts w:ascii="Tahoma" w:hAnsi="Tahoma" w:cs="Tahoma"/>
          <w:noProof/>
          <w:sz w:val="22"/>
          <w:szCs w:val="22"/>
          <w:lang w:val="sr-Cyrl-RS"/>
        </w:rPr>
        <w:t xml:space="preserve"> је просек извршења у региону у истом периоду био је </w:t>
      </w:r>
      <w:r w:rsidR="00C4305F">
        <w:rPr>
          <w:rFonts w:ascii="Tahoma" w:hAnsi="Tahoma" w:cs="Tahoma"/>
          <w:noProof/>
          <w:sz w:val="22"/>
          <w:szCs w:val="22"/>
          <w:lang w:val="sr-Cyrl-RS"/>
        </w:rPr>
        <w:t xml:space="preserve">чак </w:t>
      </w:r>
      <w:r w:rsidR="006C72CE" w:rsidRPr="00625BF5">
        <w:rPr>
          <w:rFonts w:ascii="Tahoma" w:hAnsi="Tahoma" w:cs="Tahoma"/>
          <w:noProof/>
          <w:sz w:val="22"/>
          <w:szCs w:val="22"/>
          <w:lang w:val="sr-Cyrl-RS"/>
        </w:rPr>
        <w:t>37,</w:t>
      </w:r>
      <w:r w:rsidR="00BB75A4" w:rsidRPr="00625BF5">
        <w:rPr>
          <w:rFonts w:ascii="Tahoma" w:hAnsi="Tahoma" w:cs="Tahoma"/>
          <w:noProof/>
          <w:sz w:val="22"/>
          <w:szCs w:val="22"/>
          <w:lang w:val="sr-Cyrl-RS"/>
        </w:rPr>
        <w:t>8</w:t>
      </w:r>
      <w:r w:rsidR="00BA21A4" w:rsidRPr="00625BF5">
        <w:rPr>
          <w:rFonts w:ascii="Tahoma" w:hAnsi="Tahoma" w:cs="Tahoma"/>
          <w:noProof/>
          <w:sz w:val="22"/>
          <w:szCs w:val="22"/>
          <w:lang w:val="sr-Cyrl-RS"/>
        </w:rPr>
        <w:t>%.</w:t>
      </w:r>
    </w:p>
    <w:p w14:paraId="0CEFAE5E" w14:textId="7C68F7FB" w:rsidR="00A7524D" w:rsidRPr="007532C4" w:rsidRDefault="00A173EB" w:rsidP="00E26E7B">
      <w:pPr>
        <w:pStyle w:val="NormalWeb"/>
        <w:numPr>
          <w:ilvl w:val="0"/>
          <w:numId w:val="19"/>
        </w:numPr>
        <w:spacing w:before="0" w:beforeAutospacing="0" w:after="160" w:line="259" w:lineRule="auto"/>
        <w:ind w:left="0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7532C4">
        <w:rPr>
          <w:rFonts w:ascii="Tahoma" w:hAnsi="Tahoma" w:cs="Tahoma"/>
          <w:b/>
          <w:bCs/>
          <w:noProof/>
          <w:sz w:val="22"/>
          <w:szCs w:val="22"/>
          <w:lang w:val="sr-Cyrl-RS"/>
        </w:rPr>
        <w:t>С</w:t>
      </w:r>
      <w:r w:rsidR="006D79B6" w:rsidRPr="007532C4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убвенције </w:t>
      </w:r>
      <w:r w:rsidR="00C00F20" w:rsidRPr="007532C4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јавним нефинансијским предузећима и организацијама</w:t>
      </w:r>
      <w:r w:rsidR="00716C11" w:rsidRPr="007532C4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(451000)</w:t>
      </w:r>
      <w:r w:rsidR="007532C4" w:rsidRPr="007532C4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и субвенције </w:t>
      </w:r>
      <w:r w:rsidR="00A35B67">
        <w:rPr>
          <w:rFonts w:ascii="Tahoma" w:hAnsi="Tahoma" w:cs="Tahoma"/>
          <w:b/>
          <w:bCs/>
          <w:noProof/>
          <w:sz w:val="22"/>
          <w:szCs w:val="22"/>
          <w:lang w:val="sr-Cyrl-RS"/>
        </w:rPr>
        <w:t>приватним предузећима (454000)</w:t>
      </w:r>
      <w:r w:rsidR="00C00F20" w:rsidRPr="007532C4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, </w:t>
      </w:r>
      <w:r w:rsidRPr="007532C4">
        <w:rPr>
          <w:rFonts w:ascii="Tahoma" w:hAnsi="Tahoma" w:cs="Tahoma"/>
          <w:noProof/>
          <w:sz w:val="22"/>
          <w:szCs w:val="22"/>
          <w:lang w:val="sr-Cyrl-RS"/>
        </w:rPr>
        <w:t>односи се на доделу текућих</w:t>
      </w:r>
      <w:r w:rsidR="00232C60" w:rsidRPr="007532C4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Pr="007532C4">
        <w:rPr>
          <w:rFonts w:ascii="Tahoma" w:hAnsi="Tahoma" w:cs="Tahoma"/>
          <w:noProof/>
          <w:sz w:val="22"/>
          <w:szCs w:val="22"/>
          <w:lang w:val="sr-Cyrl-RS"/>
        </w:rPr>
        <w:t xml:space="preserve">субвенција </w:t>
      </w:r>
      <w:r w:rsidR="00447268" w:rsidRPr="007532C4">
        <w:rPr>
          <w:rFonts w:ascii="Tahoma" w:hAnsi="Tahoma" w:cs="Tahoma"/>
          <w:noProof/>
          <w:sz w:val="22"/>
          <w:szCs w:val="22"/>
          <w:lang w:val="sr-Cyrl-RS"/>
        </w:rPr>
        <w:t>јавн</w:t>
      </w:r>
      <w:r w:rsidR="00A35B67">
        <w:rPr>
          <w:rFonts w:ascii="Tahoma" w:hAnsi="Tahoma" w:cs="Tahoma"/>
          <w:noProof/>
          <w:sz w:val="22"/>
          <w:szCs w:val="22"/>
          <w:lang w:val="sr-Cyrl-RS"/>
        </w:rPr>
        <w:t>им</w:t>
      </w:r>
      <w:r w:rsidR="00447268" w:rsidRPr="007532C4">
        <w:rPr>
          <w:rFonts w:ascii="Tahoma" w:hAnsi="Tahoma" w:cs="Tahoma"/>
          <w:noProof/>
          <w:sz w:val="22"/>
          <w:szCs w:val="22"/>
          <w:lang w:val="sr-Cyrl-RS"/>
        </w:rPr>
        <w:t xml:space="preserve"> предузећ</w:t>
      </w:r>
      <w:r w:rsidR="00A35B67">
        <w:rPr>
          <w:rFonts w:ascii="Tahoma" w:hAnsi="Tahoma" w:cs="Tahoma"/>
          <w:noProof/>
          <w:sz w:val="22"/>
          <w:szCs w:val="22"/>
          <w:lang w:val="sr-Cyrl-RS"/>
        </w:rPr>
        <w:t>има</w:t>
      </w:r>
      <w:r w:rsidR="00447268" w:rsidRPr="007532C4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2769CA" w:rsidRPr="007532C4">
        <w:rPr>
          <w:rFonts w:ascii="Tahoma" w:hAnsi="Tahoma" w:cs="Tahoma"/>
          <w:noProof/>
          <w:sz w:val="22"/>
          <w:szCs w:val="22"/>
          <w:lang w:val="sr-Cyrl-RS"/>
        </w:rPr>
        <w:t xml:space="preserve">ради обезбеђивања </w:t>
      </w:r>
      <w:r w:rsidR="0068560E">
        <w:rPr>
          <w:rFonts w:ascii="Tahoma" w:hAnsi="Tahoma" w:cs="Tahoma"/>
          <w:noProof/>
          <w:sz w:val="22"/>
          <w:szCs w:val="22"/>
          <w:lang w:val="sr-Cyrl-RS"/>
        </w:rPr>
        <w:t xml:space="preserve">пружања услуга према усвојеним програмима пословања и то: ЈКП </w:t>
      </w:r>
      <w:r w:rsidR="00E773F0">
        <w:rPr>
          <w:rFonts w:ascii="Tahoma" w:hAnsi="Tahoma" w:cs="Tahoma"/>
          <w:noProof/>
          <w:sz w:val="22"/>
          <w:szCs w:val="22"/>
          <w:lang w:val="sr-Cyrl-RS"/>
        </w:rPr>
        <w:t xml:space="preserve">„Паланка 2020“, ЈКП </w:t>
      </w:r>
      <w:r w:rsidR="00315E21">
        <w:rPr>
          <w:rFonts w:ascii="Tahoma" w:hAnsi="Tahoma" w:cs="Tahoma"/>
          <w:noProof/>
          <w:sz w:val="22"/>
          <w:szCs w:val="22"/>
          <w:lang w:val="sr-Cyrl-RS"/>
        </w:rPr>
        <w:t>„Водовод“, ЈП „Морава“, ЈП „</w:t>
      </w:r>
      <w:r w:rsidR="00826D7B">
        <w:rPr>
          <w:rFonts w:ascii="Tahoma" w:hAnsi="Tahoma" w:cs="Tahoma"/>
          <w:noProof/>
          <w:sz w:val="22"/>
          <w:szCs w:val="22"/>
          <w:lang w:val="sr-Cyrl-RS"/>
        </w:rPr>
        <w:t xml:space="preserve">Паланка“ у ликвидацији, ЈП „Паланка развој“. </w:t>
      </w:r>
      <w:r w:rsidR="00FC2C84">
        <w:rPr>
          <w:rFonts w:ascii="Tahoma" w:hAnsi="Tahoma" w:cs="Tahoma"/>
          <w:noProof/>
          <w:sz w:val="22"/>
          <w:szCs w:val="22"/>
          <w:lang w:val="sr-Cyrl-RS"/>
        </w:rPr>
        <w:t>С</w:t>
      </w:r>
      <w:r w:rsidR="000E15A4" w:rsidRPr="007532C4">
        <w:rPr>
          <w:rFonts w:ascii="Tahoma" w:hAnsi="Tahoma" w:cs="Tahoma"/>
          <w:noProof/>
          <w:sz w:val="22"/>
          <w:szCs w:val="22"/>
          <w:lang w:val="sr-Cyrl-RS"/>
        </w:rPr>
        <w:t>убвенције с</w:t>
      </w:r>
      <w:r w:rsidR="00FC2C84">
        <w:rPr>
          <w:rFonts w:ascii="Tahoma" w:hAnsi="Tahoma" w:cs="Tahoma"/>
          <w:noProof/>
          <w:sz w:val="22"/>
          <w:szCs w:val="22"/>
          <w:lang w:val="sr-Cyrl-RS"/>
        </w:rPr>
        <w:t xml:space="preserve"> приватним предузећима с</w:t>
      </w:r>
      <w:r w:rsidR="000E15A4" w:rsidRPr="007532C4">
        <w:rPr>
          <w:rFonts w:ascii="Tahoma" w:hAnsi="Tahoma" w:cs="Tahoma"/>
          <w:noProof/>
          <w:sz w:val="22"/>
          <w:szCs w:val="22"/>
          <w:lang w:val="sr-Cyrl-RS"/>
        </w:rPr>
        <w:t xml:space="preserve">е односе </w:t>
      </w:r>
      <w:r w:rsidR="00FC2C84">
        <w:rPr>
          <w:rFonts w:ascii="Tahoma" w:hAnsi="Tahoma" w:cs="Tahoma"/>
          <w:noProof/>
          <w:sz w:val="22"/>
          <w:szCs w:val="22"/>
          <w:lang w:val="sr-Cyrl-RS"/>
        </w:rPr>
        <w:t>доделу средстава у области јавног информисања</w:t>
      </w:r>
      <w:r w:rsidR="000E15A4" w:rsidRPr="007532C4">
        <w:rPr>
          <w:rFonts w:ascii="Tahoma" w:hAnsi="Tahoma" w:cs="Tahoma"/>
          <w:noProof/>
          <w:sz w:val="22"/>
          <w:szCs w:val="22"/>
          <w:lang w:val="sr-Cyrl-RS"/>
        </w:rPr>
        <w:t xml:space="preserve">. </w:t>
      </w:r>
      <w:r w:rsidR="00A7524D" w:rsidRPr="007532C4">
        <w:rPr>
          <w:rFonts w:ascii="Tahoma" w:hAnsi="Tahoma" w:cs="Tahoma"/>
          <w:noProof/>
          <w:sz w:val="22"/>
          <w:szCs w:val="22"/>
          <w:lang w:val="sr-Cyrl-RS"/>
        </w:rPr>
        <w:t xml:space="preserve">Учешће субвенција у укупним расходима и издацима буџета </w:t>
      </w:r>
      <w:r w:rsidR="000C657F" w:rsidRPr="007532C4">
        <w:rPr>
          <w:rFonts w:ascii="Tahoma" w:hAnsi="Tahoma" w:cs="Tahoma"/>
          <w:noProof/>
          <w:sz w:val="22"/>
          <w:szCs w:val="22"/>
          <w:lang w:val="sr-Cyrl-RS"/>
        </w:rPr>
        <w:t xml:space="preserve">општине </w:t>
      </w:r>
      <w:r w:rsidR="005A64D6" w:rsidRPr="007532C4">
        <w:rPr>
          <w:rFonts w:ascii="Tahoma" w:hAnsi="Tahoma" w:cs="Tahoma"/>
          <w:noProof/>
          <w:sz w:val="22"/>
          <w:szCs w:val="22"/>
          <w:lang w:val="sr-Cyrl-RS"/>
        </w:rPr>
        <w:t>С</w:t>
      </w:r>
      <w:r w:rsidR="00FC2C84">
        <w:rPr>
          <w:rFonts w:ascii="Tahoma" w:hAnsi="Tahoma" w:cs="Tahoma"/>
          <w:noProof/>
          <w:sz w:val="22"/>
          <w:szCs w:val="22"/>
          <w:lang w:val="sr-Cyrl-RS"/>
        </w:rPr>
        <w:t>медеревска Паланка</w:t>
      </w:r>
      <w:r w:rsidR="00A7524D" w:rsidRPr="007532C4">
        <w:rPr>
          <w:rFonts w:ascii="Tahoma" w:hAnsi="Tahoma" w:cs="Tahoma"/>
          <w:noProof/>
          <w:sz w:val="22"/>
          <w:szCs w:val="22"/>
          <w:lang w:val="sr-Cyrl-RS"/>
        </w:rPr>
        <w:t xml:space="preserve"> износи </w:t>
      </w:r>
      <w:r w:rsidR="00EB6DE4">
        <w:rPr>
          <w:rFonts w:ascii="Tahoma" w:hAnsi="Tahoma" w:cs="Tahoma"/>
          <w:noProof/>
          <w:sz w:val="22"/>
          <w:szCs w:val="22"/>
          <w:lang w:val="sr-Cyrl-RS"/>
        </w:rPr>
        <w:t>6,59</w:t>
      </w:r>
      <w:r w:rsidR="00FD4942" w:rsidRPr="007532C4">
        <w:rPr>
          <w:rFonts w:ascii="Tahoma" w:hAnsi="Tahoma" w:cs="Tahoma"/>
          <w:noProof/>
          <w:sz w:val="22"/>
          <w:szCs w:val="22"/>
          <w:lang w:val="sr-Cyrl-RS"/>
        </w:rPr>
        <w:t xml:space="preserve">%, док је у региону просечно учешће ових издвајања </w:t>
      </w:r>
      <w:r w:rsidR="00F55569" w:rsidRPr="007532C4">
        <w:rPr>
          <w:rFonts w:ascii="Tahoma" w:hAnsi="Tahoma" w:cs="Tahoma"/>
          <w:noProof/>
          <w:sz w:val="22"/>
          <w:szCs w:val="22"/>
          <w:lang w:val="sr-Cyrl-RS"/>
        </w:rPr>
        <w:t xml:space="preserve">варира од </w:t>
      </w:r>
      <w:r w:rsidR="000C657F" w:rsidRPr="007532C4">
        <w:rPr>
          <w:rFonts w:ascii="Tahoma" w:hAnsi="Tahoma" w:cs="Tahoma"/>
          <w:noProof/>
          <w:sz w:val="22"/>
          <w:szCs w:val="22"/>
          <w:lang w:val="sr-Cyrl-RS"/>
        </w:rPr>
        <w:t xml:space="preserve">општине до општине </w:t>
      </w:r>
      <w:r w:rsidR="00F55569" w:rsidRPr="007532C4">
        <w:rPr>
          <w:rFonts w:ascii="Tahoma" w:hAnsi="Tahoma" w:cs="Tahoma"/>
          <w:noProof/>
          <w:sz w:val="22"/>
          <w:szCs w:val="22"/>
          <w:lang w:val="sr-Cyrl-RS"/>
        </w:rPr>
        <w:t xml:space="preserve">и креће се између </w:t>
      </w:r>
      <w:r w:rsidR="000C657F" w:rsidRPr="007532C4">
        <w:rPr>
          <w:rFonts w:ascii="Tahoma" w:hAnsi="Tahoma" w:cs="Tahoma"/>
          <w:noProof/>
          <w:sz w:val="22"/>
          <w:szCs w:val="22"/>
          <w:lang w:val="sr-Cyrl-RS"/>
        </w:rPr>
        <w:t>0</w:t>
      </w:r>
      <w:r w:rsidR="00F55569" w:rsidRPr="007532C4">
        <w:rPr>
          <w:rFonts w:ascii="Tahoma" w:hAnsi="Tahoma" w:cs="Tahoma"/>
          <w:noProof/>
          <w:sz w:val="22"/>
          <w:szCs w:val="22"/>
          <w:lang w:val="sr-Cyrl-RS"/>
        </w:rPr>
        <w:t xml:space="preserve">% до чак </w:t>
      </w:r>
      <w:r w:rsidR="00592717" w:rsidRPr="007532C4">
        <w:rPr>
          <w:rFonts w:ascii="Tahoma" w:hAnsi="Tahoma" w:cs="Tahoma"/>
          <w:noProof/>
          <w:sz w:val="22"/>
          <w:szCs w:val="22"/>
          <w:lang w:val="sr-Cyrl-RS"/>
        </w:rPr>
        <w:t>25</w:t>
      </w:r>
      <w:r w:rsidR="000C657F" w:rsidRPr="007532C4">
        <w:rPr>
          <w:rFonts w:ascii="Tahoma" w:hAnsi="Tahoma" w:cs="Tahoma"/>
          <w:noProof/>
          <w:sz w:val="22"/>
          <w:szCs w:val="22"/>
          <w:lang w:val="sr-Cyrl-RS"/>
        </w:rPr>
        <w:t xml:space="preserve">,10% (просечно релативно учешће код општина у региону износи </w:t>
      </w:r>
      <w:r w:rsidR="00592717" w:rsidRPr="007532C4">
        <w:rPr>
          <w:rFonts w:ascii="Tahoma" w:hAnsi="Tahoma" w:cs="Tahoma"/>
          <w:noProof/>
          <w:sz w:val="22"/>
          <w:szCs w:val="22"/>
          <w:lang w:val="sr-Cyrl-RS"/>
        </w:rPr>
        <w:t>4,45</w:t>
      </w:r>
      <w:r w:rsidR="000C657F" w:rsidRPr="007532C4">
        <w:rPr>
          <w:rFonts w:ascii="Tahoma" w:hAnsi="Tahoma" w:cs="Tahoma"/>
          <w:noProof/>
          <w:sz w:val="22"/>
          <w:szCs w:val="22"/>
          <w:lang w:val="sr-Cyrl-RS"/>
        </w:rPr>
        <w:t>%)</w:t>
      </w:r>
      <w:r w:rsidR="00FD4942" w:rsidRPr="007532C4">
        <w:rPr>
          <w:rFonts w:ascii="Tahoma" w:hAnsi="Tahoma" w:cs="Tahoma"/>
          <w:noProof/>
          <w:sz w:val="22"/>
          <w:szCs w:val="22"/>
          <w:lang w:val="sr-Cyrl-RS"/>
        </w:rPr>
        <w:t>.</w:t>
      </w:r>
      <w:r w:rsidR="00013C2D" w:rsidRPr="007532C4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</w:p>
    <w:p w14:paraId="75D9ABFA" w14:textId="0352C11A" w:rsidR="00FD4942" w:rsidRPr="00190F59" w:rsidRDefault="00E74BBA" w:rsidP="004F59CB">
      <w:pPr>
        <w:pStyle w:val="NormalWeb"/>
        <w:numPr>
          <w:ilvl w:val="0"/>
          <w:numId w:val="19"/>
        </w:numPr>
        <w:spacing w:before="0" w:beforeAutospacing="0" w:after="160" w:line="259" w:lineRule="auto"/>
        <w:ind w:left="0"/>
        <w:jc w:val="both"/>
        <w:rPr>
          <w:rFonts w:ascii="Tahoma" w:hAnsi="Tahoma" w:cs="Tahoma"/>
          <w:noProof/>
          <w:lang w:val="sr-Cyrl-RS"/>
        </w:rPr>
      </w:pPr>
      <w:r w:rsidRPr="00190F59">
        <w:rPr>
          <w:rFonts w:ascii="Tahoma" w:hAnsi="Tahoma" w:cs="Tahoma"/>
          <w:noProof/>
          <w:sz w:val="22"/>
          <w:szCs w:val="22"/>
          <w:lang w:val="sr-Cyrl-RS"/>
        </w:rPr>
        <w:lastRenderedPageBreak/>
        <w:t xml:space="preserve">Путем економске класификације </w:t>
      </w:r>
      <w:r w:rsidRPr="00190F59">
        <w:rPr>
          <w:rFonts w:ascii="Tahoma" w:hAnsi="Tahoma" w:cs="Tahoma"/>
          <w:b/>
          <w:bCs/>
          <w:noProof/>
          <w:sz w:val="22"/>
          <w:szCs w:val="22"/>
          <w:lang w:val="sr-Cyrl-RS"/>
        </w:rPr>
        <w:t>463 – Трансфери осталим нивоима власти,</w:t>
      </w:r>
      <w:r w:rsidRPr="00190F59">
        <w:rPr>
          <w:rFonts w:ascii="Tahoma" w:hAnsi="Tahoma" w:cs="Tahoma"/>
          <w:noProof/>
          <w:sz w:val="22"/>
          <w:szCs w:val="22"/>
          <w:lang w:val="sr-Cyrl-RS"/>
        </w:rPr>
        <w:t xml:space="preserve"> извршавају се издаци према </w:t>
      </w:r>
      <w:r w:rsidR="007A3298" w:rsidRPr="00190F59">
        <w:rPr>
          <w:rFonts w:ascii="Tahoma" w:hAnsi="Tahoma" w:cs="Tahoma"/>
          <w:noProof/>
          <w:sz w:val="22"/>
          <w:szCs w:val="22"/>
          <w:lang w:val="sr-Cyrl-RS"/>
        </w:rPr>
        <w:t>основним школама (</w:t>
      </w:r>
      <w:r w:rsidR="003C09A2">
        <w:rPr>
          <w:rFonts w:ascii="Tahoma" w:hAnsi="Tahoma" w:cs="Tahoma"/>
          <w:noProof/>
          <w:sz w:val="22"/>
          <w:szCs w:val="22"/>
          <w:lang w:val="sr-Cyrl-RS"/>
        </w:rPr>
        <w:t>12</w:t>
      </w:r>
      <w:r w:rsidR="007A3298" w:rsidRPr="00190F59">
        <w:rPr>
          <w:rFonts w:ascii="Tahoma" w:hAnsi="Tahoma" w:cs="Tahoma"/>
          <w:noProof/>
          <w:sz w:val="22"/>
          <w:szCs w:val="22"/>
          <w:lang w:val="sr-Cyrl-RS"/>
        </w:rPr>
        <w:t>), средњим школама (3)</w:t>
      </w:r>
      <w:r w:rsidRPr="00190F59">
        <w:rPr>
          <w:rFonts w:ascii="Tahoma" w:hAnsi="Tahoma" w:cs="Tahoma"/>
          <w:noProof/>
          <w:sz w:val="22"/>
          <w:szCs w:val="22"/>
          <w:lang w:val="sr-Cyrl-RS"/>
        </w:rPr>
        <w:t>, односно Центру за социјални рад, а ради реализације делатности ових установа, у складу са важећим законским и другим прописима</w:t>
      </w:r>
      <w:r w:rsidR="00FD4942" w:rsidRPr="00190F59">
        <w:rPr>
          <w:rFonts w:ascii="Tahoma" w:hAnsi="Tahoma" w:cs="Tahoma"/>
          <w:noProof/>
          <w:sz w:val="22"/>
          <w:szCs w:val="22"/>
          <w:lang w:val="sr-Cyrl-RS"/>
        </w:rPr>
        <w:t xml:space="preserve">, а на економској класификацији </w:t>
      </w:r>
      <w:r w:rsidR="00FD4942" w:rsidRPr="00190F59">
        <w:rPr>
          <w:rFonts w:ascii="Tahoma" w:hAnsi="Tahoma" w:cs="Tahoma"/>
          <w:b/>
          <w:bCs/>
          <w:noProof/>
          <w:sz w:val="22"/>
          <w:szCs w:val="22"/>
          <w:lang w:val="sr-Cyrl-RS"/>
        </w:rPr>
        <w:t>464 – Дотације организацијама за обавезно социјално осигурање</w:t>
      </w:r>
      <w:r w:rsidR="00FD4942" w:rsidRPr="00190F59">
        <w:rPr>
          <w:rFonts w:ascii="Tahoma" w:hAnsi="Tahoma" w:cs="Tahoma"/>
          <w:noProof/>
          <w:sz w:val="22"/>
          <w:szCs w:val="22"/>
          <w:lang w:val="sr-Cyrl-RS"/>
        </w:rPr>
        <w:t xml:space="preserve"> се евидентирају расходи који се извршавају према локалном </w:t>
      </w:r>
      <w:r w:rsidR="00F21099">
        <w:rPr>
          <w:rFonts w:ascii="Tahoma" w:hAnsi="Tahoma" w:cs="Tahoma"/>
          <w:noProof/>
          <w:sz w:val="22"/>
          <w:szCs w:val="22"/>
          <w:lang w:val="sr-Cyrl-RS"/>
        </w:rPr>
        <w:t>Дому здравља</w:t>
      </w:r>
      <w:r w:rsidR="00FD4942" w:rsidRPr="00190F59">
        <w:rPr>
          <w:rFonts w:ascii="Tahoma" w:hAnsi="Tahoma" w:cs="Tahoma"/>
          <w:noProof/>
          <w:sz w:val="22"/>
          <w:szCs w:val="22"/>
          <w:lang w:val="sr-Cyrl-RS"/>
        </w:rPr>
        <w:t xml:space="preserve"> за функционисање</w:t>
      </w:r>
      <w:r w:rsidR="008728E3" w:rsidRPr="00190F59">
        <w:rPr>
          <w:rFonts w:ascii="Tahoma" w:hAnsi="Tahoma" w:cs="Tahoma"/>
          <w:noProof/>
          <w:sz w:val="22"/>
          <w:szCs w:val="22"/>
          <w:lang w:val="sr-Cyrl-RS"/>
        </w:rPr>
        <w:t xml:space="preserve"> (</w:t>
      </w:r>
      <w:r w:rsidR="00C26199" w:rsidRPr="00190F59">
        <w:rPr>
          <w:rFonts w:ascii="Tahoma" w:hAnsi="Tahoma" w:cs="Tahoma"/>
          <w:noProof/>
          <w:sz w:val="22"/>
          <w:szCs w:val="22"/>
          <w:lang w:val="sr-Cyrl-RS"/>
        </w:rPr>
        <w:t>текући издаци</w:t>
      </w:r>
      <w:r w:rsidR="00F37056" w:rsidRPr="00190F59">
        <w:rPr>
          <w:rFonts w:ascii="Tahoma" w:hAnsi="Tahoma" w:cs="Tahoma"/>
          <w:noProof/>
          <w:sz w:val="22"/>
          <w:szCs w:val="22"/>
          <w:lang w:val="sr-Cyrl-RS"/>
        </w:rPr>
        <w:t xml:space="preserve"> и улагања у опрему</w:t>
      </w:r>
      <w:r w:rsidR="00C26199" w:rsidRPr="00190F59">
        <w:rPr>
          <w:rFonts w:ascii="Tahoma" w:hAnsi="Tahoma" w:cs="Tahoma"/>
          <w:noProof/>
          <w:sz w:val="22"/>
          <w:szCs w:val="22"/>
          <w:lang w:val="sr-Cyrl-RS"/>
        </w:rPr>
        <w:t>)</w:t>
      </w:r>
      <w:r w:rsidR="000F7751">
        <w:rPr>
          <w:rFonts w:ascii="Tahoma" w:hAnsi="Tahoma" w:cs="Tahoma"/>
          <w:noProof/>
          <w:sz w:val="22"/>
          <w:szCs w:val="22"/>
          <w:lang w:val="sr-Cyrl-RS"/>
        </w:rPr>
        <w:t xml:space="preserve"> и за потребе Апотеке Здравље</w:t>
      </w:r>
      <w:r w:rsidR="005572F9" w:rsidRPr="00190F59">
        <w:rPr>
          <w:rFonts w:ascii="Tahoma" w:hAnsi="Tahoma" w:cs="Tahoma"/>
          <w:noProof/>
          <w:sz w:val="22"/>
          <w:szCs w:val="22"/>
          <w:lang w:val="sr-Cyrl-RS"/>
        </w:rPr>
        <w:t xml:space="preserve">. </w:t>
      </w:r>
      <w:r w:rsidR="00FD4942" w:rsidRPr="00190F59">
        <w:rPr>
          <w:rFonts w:ascii="Tahoma" w:hAnsi="Tahoma" w:cs="Tahoma"/>
          <w:noProof/>
          <w:sz w:val="22"/>
          <w:szCs w:val="22"/>
          <w:lang w:val="sr-Cyrl-RS"/>
        </w:rPr>
        <w:t xml:space="preserve">Просек издвајања у сврху трансфера другим нивоима власти на нивоу </w:t>
      </w:r>
      <w:r w:rsidR="005572F9" w:rsidRPr="00190F59">
        <w:rPr>
          <w:rFonts w:ascii="Tahoma" w:hAnsi="Tahoma" w:cs="Tahoma"/>
          <w:noProof/>
          <w:sz w:val="22"/>
          <w:szCs w:val="22"/>
          <w:lang w:val="sr-Cyrl-RS"/>
        </w:rPr>
        <w:t>свих општина</w:t>
      </w:r>
      <w:r w:rsidR="00F55569" w:rsidRPr="00190F59">
        <w:rPr>
          <w:rFonts w:ascii="Tahoma" w:hAnsi="Tahoma" w:cs="Tahoma"/>
          <w:noProof/>
          <w:sz w:val="22"/>
          <w:szCs w:val="22"/>
          <w:lang w:val="sr-Cyrl-RS"/>
        </w:rPr>
        <w:t xml:space="preserve"> у </w:t>
      </w:r>
      <w:r w:rsidR="00FD4942" w:rsidRPr="00190F59">
        <w:rPr>
          <w:rFonts w:ascii="Tahoma" w:hAnsi="Tahoma" w:cs="Tahoma"/>
          <w:noProof/>
          <w:sz w:val="22"/>
          <w:szCs w:val="22"/>
          <w:lang w:val="sr-Cyrl-RS"/>
        </w:rPr>
        <w:t>регион</w:t>
      </w:r>
      <w:r w:rsidR="00F55569" w:rsidRPr="00190F59">
        <w:rPr>
          <w:rFonts w:ascii="Tahoma" w:hAnsi="Tahoma" w:cs="Tahoma"/>
          <w:noProof/>
          <w:sz w:val="22"/>
          <w:szCs w:val="22"/>
          <w:lang w:val="sr-Cyrl-RS"/>
        </w:rPr>
        <w:t>у</w:t>
      </w:r>
      <w:r w:rsidR="00FD4942" w:rsidRPr="00190F59">
        <w:rPr>
          <w:rFonts w:ascii="Tahoma" w:hAnsi="Tahoma" w:cs="Tahoma"/>
          <w:noProof/>
          <w:sz w:val="22"/>
          <w:szCs w:val="22"/>
          <w:lang w:val="sr-Cyrl-RS"/>
        </w:rPr>
        <w:t xml:space="preserve"> износи </w:t>
      </w:r>
      <w:r w:rsidR="004462C9">
        <w:rPr>
          <w:rFonts w:ascii="Tahoma" w:hAnsi="Tahoma" w:cs="Tahoma"/>
          <w:noProof/>
          <w:sz w:val="22"/>
          <w:szCs w:val="22"/>
          <w:lang w:val="sr-Cyrl-RS"/>
        </w:rPr>
        <w:t>15,31</w:t>
      </w:r>
      <w:r w:rsidR="00FD4942" w:rsidRPr="00190F59">
        <w:rPr>
          <w:rFonts w:ascii="Tahoma" w:hAnsi="Tahoma" w:cs="Tahoma"/>
          <w:noProof/>
          <w:sz w:val="22"/>
          <w:szCs w:val="22"/>
          <w:lang w:val="sr-Cyrl-RS"/>
        </w:rPr>
        <w:t xml:space="preserve">%, </w:t>
      </w:r>
      <w:r w:rsidR="00F128F0" w:rsidRPr="00190F59">
        <w:rPr>
          <w:rFonts w:ascii="Tahoma" w:hAnsi="Tahoma" w:cs="Tahoma"/>
          <w:noProof/>
          <w:sz w:val="22"/>
          <w:szCs w:val="22"/>
          <w:lang w:val="sr-Cyrl-RS"/>
        </w:rPr>
        <w:t xml:space="preserve">а у случају општине </w:t>
      </w:r>
      <w:r w:rsidR="00EB0B5B" w:rsidRPr="00190F59">
        <w:rPr>
          <w:rFonts w:ascii="Tahoma" w:hAnsi="Tahoma" w:cs="Tahoma"/>
          <w:noProof/>
          <w:sz w:val="22"/>
          <w:szCs w:val="22"/>
          <w:lang w:val="sr-Cyrl-RS"/>
        </w:rPr>
        <w:t>С</w:t>
      </w:r>
      <w:r w:rsidR="00323438">
        <w:rPr>
          <w:rFonts w:ascii="Tahoma" w:hAnsi="Tahoma" w:cs="Tahoma"/>
          <w:noProof/>
          <w:sz w:val="22"/>
          <w:szCs w:val="22"/>
          <w:lang w:val="sr-Cyrl-RS"/>
        </w:rPr>
        <w:t>медеревска Паланка</w:t>
      </w:r>
      <w:r w:rsidR="00F128F0" w:rsidRPr="00190F59">
        <w:rPr>
          <w:rFonts w:ascii="Tahoma" w:hAnsi="Tahoma" w:cs="Tahoma"/>
          <w:noProof/>
          <w:sz w:val="22"/>
          <w:szCs w:val="22"/>
          <w:lang w:val="sr-Cyrl-RS"/>
        </w:rPr>
        <w:t>,</w:t>
      </w:r>
      <w:r w:rsidR="00153BA3" w:rsidRPr="00190F59">
        <w:rPr>
          <w:rFonts w:ascii="Tahoma" w:hAnsi="Tahoma" w:cs="Tahoma"/>
          <w:noProof/>
          <w:sz w:val="22"/>
          <w:szCs w:val="22"/>
          <w:lang w:val="sr-Cyrl-RS"/>
        </w:rPr>
        <w:t xml:space="preserve"> у</w:t>
      </w:r>
      <w:r w:rsidR="00FC41D3" w:rsidRPr="00190F59">
        <w:rPr>
          <w:rFonts w:ascii="Tahoma" w:hAnsi="Tahoma" w:cs="Tahoma"/>
          <w:noProof/>
          <w:sz w:val="22"/>
          <w:szCs w:val="22"/>
          <w:lang w:val="sr-Cyrl-RS"/>
        </w:rPr>
        <w:t xml:space="preserve"> истом трогодишњем периоду</w:t>
      </w:r>
      <w:r w:rsidR="00F128F0" w:rsidRPr="00190F59">
        <w:rPr>
          <w:rFonts w:ascii="Tahoma" w:hAnsi="Tahoma" w:cs="Tahoma"/>
          <w:noProof/>
          <w:sz w:val="22"/>
          <w:szCs w:val="22"/>
          <w:lang w:val="sr-Cyrl-RS"/>
        </w:rPr>
        <w:t>,</w:t>
      </w:r>
      <w:r w:rsidR="00FC41D3" w:rsidRPr="00190F59">
        <w:rPr>
          <w:rFonts w:ascii="Tahoma" w:hAnsi="Tahoma" w:cs="Tahoma"/>
          <w:noProof/>
          <w:sz w:val="22"/>
          <w:szCs w:val="22"/>
          <w:lang w:val="sr-Cyrl-RS"/>
        </w:rPr>
        <w:t xml:space="preserve"> за трансфере </w:t>
      </w:r>
      <w:r w:rsidR="00F128F0" w:rsidRPr="00190F59">
        <w:rPr>
          <w:rFonts w:ascii="Tahoma" w:hAnsi="Tahoma" w:cs="Tahoma"/>
          <w:noProof/>
          <w:sz w:val="22"/>
          <w:szCs w:val="22"/>
          <w:lang w:val="sr-Cyrl-RS"/>
        </w:rPr>
        <w:t xml:space="preserve">је намењено </w:t>
      </w:r>
      <w:r w:rsidR="004462C9">
        <w:rPr>
          <w:rFonts w:ascii="Tahoma" w:hAnsi="Tahoma" w:cs="Tahoma"/>
          <w:noProof/>
          <w:sz w:val="22"/>
          <w:szCs w:val="22"/>
          <w:lang w:val="sr-Cyrl-RS"/>
        </w:rPr>
        <w:t>14,35</w:t>
      </w:r>
      <w:r w:rsidR="00FC41D3" w:rsidRPr="00190F59">
        <w:rPr>
          <w:rFonts w:ascii="Tahoma" w:hAnsi="Tahoma" w:cs="Tahoma"/>
          <w:noProof/>
          <w:sz w:val="22"/>
          <w:szCs w:val="22"/>
          <w:lang w:val="sr-Cyrl-RS"/>
        </w:rPr>
        <w:t>%</w:t>
      </w:r>
      <w:r w:rsidR="00F128F0" w:rsidRPr="00190F59">
        <w:rPr>
          <w:rFonts w:ascii="Tahoma" w:hAnsi="Tahoma" w:cs="Tahoma"/>
          <w:noProof/>
          <w:sz w:val="22"/>
          <w:szCs w:val="22"/>
          <w:lang w:val="sr-Cyrl-RS"/>
        </w:rPr>
        <w:t xml:space="preserve"> укупних прихода и примања буџета. </w:t>
      </w:r>
    </w:p>
    <w:p w14:paraId="09496254" w14:textId="1D2FCE4C" w:rsidR="00E74BBA" w:rsidRPr="004462C9" w:rsidRDefault="00E74BBA" w:rsidP="00E46F26">
      <w:pPr>
        <w:pStyle w:val="NormalWeb"/>
        <w:numPr>
          <w:ilvl w:val="0"/>
          <w:numId w:val="19"/>
        </w:numPr>
        <w:spacing w:before="0" w:beforeAutospacing="0" w:after="160" w:line="259" w:lineRule="auto"/>
        <w:ind w:left="0"/>
        <w:jc w:val="both"/>
        <w:rPr>
          <w:rFonts w:ascii="Tahoma" w:hAnsi="Tahoma" w:cs="Tahoma"/>
          <w:noProof/>
          <w:lang w:val="sr-Cyrl-RS"/>
        </w:rPr>
      </w:pPr>
      <w:r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На економској класификацији </w:t>
      </w:r>
      <w:r w:rsidRPr="004462C9">
        <w:rPr>
          <w:rFonts w:ascii="Tahoma" w:hAnsi="Tahoma" w:cs="Tahoma"/>
          <w:b/>
          <w:bCs/>
          <w:noProof/>
          <w:sz w:val="22"/>
          <w:szCs w:val="22"/>
          <w:lang w:val="sr-Cyrl-RS"/>
        </w:rPr>
        <w:t>481 – Дотације невладиним организацијама</w:t>
      </w:r>
      <w:r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 сведоци смо </w:t>
      </w:r>
      <w:r w:rsidR="00B05B1E">
        <w:rPr>
          <w:rFonts w:ascii="Tahoma" w:hAnsi="Tahoma" w:cs="Tahoma"/>
          <w:noProof/>
          <w:sz w:val="22"/>
          <w:szCs w:val="22"/>
          <w:lang w:val="sr-Cyrl-RS"/>
        </w:rPr>
        <w:t>рапидног повећања</w:t>
      </w:r>
      <w:r w:rsidR="00DC2A3B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Pr="004462C9">
        <w:rPr>
          <w:rFonts w:ascii="Tahoma" w:hAnsi="Tahoma" w:cs="Tahoma"/>
          <w:noProof/>
          <w:sz w:val="22"/>
          <w:szCs w:val="22"/>
          <w:lang w:val="sr-Cyrl-RS"/>
        </w:rPr>
        <w:t>план</w:t>
      </w:r>
      <w:r w:rsidR="001432DA" w:rsidRPr="004462C9">
        <w:rPr>
          <w:rFonts w:ascii="Tahoma" w:hAnsi="Tahoma" w:cs="Tahoma"/>
          <w:noProof/>
          <w:sz w:val="22"/>
          <w:szCs w:val="22"/>
          <w:lang w:val="sr-Cyrl-RS"/>
        </w:rPr>
        <w:t>ира</w:t>
      </w:r>
      <w:r w:rsidR="00EE0444" w:rsidRPr="004462C9">
        <w:rPr>
          <w:rFonts w:ascii="Tahoma" w:hAnsi="Tahoma" w:cs="Tahoma"/>
          <w:noProof/>
          <w:sz w:val="22"/>
          <w:szCs w:val="22"/>
          <w:lang w:val="sr-Cyrl-RS"/>
        </w:rPr>
        <w:t>ња</w:t>
      </w:r>
      <w:r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 и извшравања</w:t>
      </w:r>
      <w:r w:rsidR="00DC2A3B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 ове категорије расхода у анализираном периоду</w:t>
      </w:r>
      <w:r w:rsidR="00B05B1E">
        <w:rPr>
          <w:rFonts w:ascii="Tahoma" w:hAnsi="Tahoma" w:cs="Tahoma"/>
          <w:noProof/>
          <w:sz w:val="22"/>
          <w:szCs w:val="22"/>
          <w:lang w:val="sr-Cyrl-RS"/>
        </w:rPr>
        <w:t>, са 21,2 милиона на 36,7 милиона динара</w:t>
      </w:r>
      <w:r w:rsidR="006F1314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. </w:t>
      </w:r>
      <w:r w:rsidR="001432DA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Ови расходи су </w:t>
      </w:r>
      <w:r w:rsidR="00603924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извршени </w:t>
      </w:r>
      <w:r w:rsidR="00EE0444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у просеку око </w:t>
      </w:r>
      <w:r w:rsidR="000536E5">
        <w:rPr>
          <w:rFonts w:ascii="Tahoma" w:hAnsi="Tahoma" w:cs="Tahoma"/>
          <w:noProof/>
          <w:sz w:val="22"/>
          <w:szCs w:val="22"/>
          <w:lang w:val="sr-Cyrl-RS"/>
        </w:rPr>
        <w:t>26</w:t>
      </w:r>
      <w:r w:rsidR="00793DA9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 милиона динара</w:t>
      </w:r>
      <w:r w:rsidR="000536E5">
        <w:rPr>
          <w:rFonts w:ascii="Tahoma" w:hAnsi="Tahoma" w:cs="Tahoma"/>
          <w:noProof/>
          <w:sz w:val="22"/>
          <w:szCs w:val="22"/>
          <w:lang w:val="sr-Cyrl-RS"/>
        </w:rPr>
        <w:t xml:space="preserve"> годишње</w:t>
      </w:r>
      <w:r w:rsidR="00793DA9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EE0444" w:rsidRPr="004462C9">
        <w:rPr>
          <w:rFonts w:ascii="Tahoma" w:hAnsi="Tahoma" w:cs="Tahoma"/>
          <w:noProof/>
          <w:sz w:val="22"/>
          <w:szCs w:val="22"/>
          <w:lang w:val="sr-Cyrl-RS"/>
        </w:rPr>
        <w:t>и намењени су за ф</w:t>
      </w:r>
      <w:r w:rsidR="006F1314" w:rsidRPr="004462C9">
        <w:rPr>
          <w:rFonts w:ascii="Tahoma" w:hAnsi="Tahoma" w:cs="Tahoma"/>
          <w:noProof/>
          <w:sz w:val="22"/>
          <w:szCs w:val="22"/>
          <w:lang w:val="sr-Cyrl-RS"/>
        </w:rPr>
        <w:t>инансирање програма и пројеката удружења грађана</w:t>
      </w:r>
      <w:r w:rsidR="00C0070A" w:rsidRPr="004462C9">
        <w:rPr>
          <w:rFonts w:ascii="Tahoma" w:hAnsi="Tahoma" w:cs="Tahoma"/>
          <w:noProof/>
          <w:sz w:val="22"/>
          <w:szCs w:val="22"/>
          <w:lang w:val="sr-Cyrl-RS"/>
        </w:rPr>
        <w:t>.</w:t>
      </w:r>
      <w:r w:rsidR="006F1314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0E5E18" w:rsidRPr="004462C9">
        <w:rPr>
          <w:rFonts w:ascii="Tahoma" w:hAnsi="Tahoma" w:cs="Tahoma"/>
          <w:noProof/>
          <w:sz w:val="22"/>
          <w:szCs w:val="22"/>
          <w:lang w:val="sr-Cyrl-RS"/>
        </w:rPr>
        <w:t>Е</w:t>
      </w:r>
      <w:r w:rsidR="006F1314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видентно </w:t>
      </w:r>
      <w:r w:rsidR="000E5E18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је </w:t>
      </w:r>
      <w:r w:rsidR="007761B6">
        <w:rPr>
          <w:rFonts w:ascii="Tahoma" w:hAnsi="Tahoma" w:cs="Tahoma"/>
          <w:noProof/>
          <w:sz w:val="22"/>
          <w:szCs w:val="22"/>
          <w:lang w:val="sr-Cyrl-RS"/>
        </w:rPr>
        <w:t xml:space="preserve">највеће </w:t>
      </w:r>
      <w:r w:rsidR="000E5E18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присуство ове категорије расхода </w:t>
      </w:r>
      <w:r w:rsidR="006F1314" w:rsidRPr="004462C9">
        <w:rPr>
          <w:rFonts w:ascii="Tahoma" w:hAnsi="Tahoma" w:cs="Tahoma"/>
          <w:noProof/>
          <w:sz w:val="22"/>
          <w:szCs w:val="22"/>
          <w:lang w:val="sr-Cyrl-RS"/>
        </w:rPr>
        <w:t>у програмима</w:t>
      </w:r>
      <w:r w:rsidR="008B2761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 спорта</w:t>
      </w:r>
      <w:r w:rsidR="001D3B68">
        <w:rPr>
          <w:rFonts w:ascii="Tahoma" w:hAnsi="Tahoma" w:cs="Tahoma"/>
          <w:noProof/>
          <w:sz w:val="22"/>
          <w:szCs w:val="22"/>
          <w:lang w:val="sr-Cyrl-RS"/>
        </w:rPr>
        <w:t xml:space="preserve"> (22 спортских клуба у општини)</w:t>
      </w:r>
      <w:r w:rsidR="009B4B34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, затим </w:t>
      </w:r>
      <w:r w:rsidR="007761B6">
        <w:rPr>
          <w:rFonts w:ascii="Tahoma" w:hAnsi="Tahoma" w:cs="Tahoma"/>
          <w:noProof/>
          <w:sz w:val="22"/>
          <w:szCs w:val="22"/>
          <w:lang w:val="sr-Cyrl-RS"/>
        </w:rPr>
        <w:t>за потребе верских заједница</w:t>
      </w:r>
      <w:r w:rsidR="001A3B30">
        <w:rPr>
          <w:rFonts w:ascii="Tahoma" w:hAnsi="Tahoma" w:cs="Tahoma"/>
          <w:noProof/>
          <w:sz w:val="22"/>
          <w:szCs w:val="22"/>
          <w:lang w:val="sr-Cyrl-RS"/>
        </w:rPr>
        <w:t xml:space="preserve"> и Црвеном крсту</w:t>
      </w:r>
      <w:r w:rsidR="00DD2819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. </w:t>
      </w:r>
      <w:r w:rsidR="00831148" w:rsidRPr="004462C9">
        <w:rPr>
          <w:rFonts w:ascii="Tahoma" w:hAnsi="Tahoma" w:cs="Tahoma"/>
          <w:noProof/>
          <w:sz w:val="22"/>
          <w:szCs w:val="22"/>
          <w:lang w:val="sr-Cyrl-RS"/>
        </w:rPr>
        <w:t>Про</w:t>
      </w:r>
      <w:r w:rsidR="000A64A7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сек издвајања буџета </w:t>
      </w:r>
      <w:r w:rsidR="001B744D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код </w:t>
      </w:r>
      <w:r w:rsidR="00831148" w:rsidRPr="004462C9">
        <w:rPr>
          <w:rFonts w:ascii="Tahoma" w:hAnsi="Tahoma" w:cs="Tahoma"/>
          <w:noProof/>
          <w:sz w:val="22"/>
          <w:szCs w:val="22"/>
          <w:lang w:val="sr-Cyrl-RS"/>
        </w:rPr>
        <w:t>других општина</w:t>
      </w:r>
      <w:r w:rsidR="001B744D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0A64A7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у региону за финансирање програма и пројеката удружења грађана износи </w:t>
      </w:r>
      <w:r w:rsidR="00F447F2" w:rsidRPr="004462C9">
        <w:rPr>
          <w:rFonts w:ascii="Tahoma" w:hAnsi="Tahoma" w:cs="Tahoma"/>
          <w:noProof/>
          <w:sz w:val="22"/>
          <w:szCs w:val="22"/>
          <w:lang w:val="sr-Cyrl-RS"/>
        </w:rPr>
        <w:t>34</w:t>
      </w:r>
      <w:r w:rsidR="000A64A7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 милиона динара</w:t>
      </w:r>
      <w:r w:rsidR="00F749EB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 на нивоу годишњих буџета</w:t>
      </w:r>
      <w:r w:rsidR="00603924" w:rsidRPr="004462C9">
        <w:rPr>
          <w:rFonts w:ascii="Tahoma" w:hAnsi="Tahoma" w:cs="Tahoma"/>
          <w:noProof/>
          <w:sz w:val="22"/>
          <w:szCs w:val="22"/>
          <w:lang w:val="sr-Cyrl-RS"/>
        </w:rPr>
        <w:t xml:space="preserve">. </w:t>
      </w:r>
    </w:p>
    <w:p w14:paraId="6BB2FB44" w14:textId="00F659C6" w:rsidR="00AA4D41" w:rsidRPr="008A3B74" w:rsidRDefault="00E74BBA" w:rsidP="004F59CB">
      <w:pPr>
        <w:pStyle w:val="NormalWeb"/>
        <w:numPr>
          <w:ilvl w:val="0"/>
          <w:numId w:val="19"/>
        </w:numPr>
        <w:spacing w:before="0" w:beforeAutospacing="0" w:after="160" w:line="259" w:lineRule="auto"/>
        <w:ind w:left="0"/>
        <w:jc w:val="both"/>
        <w:rPr>
          <w:rFonts w:ascii="Tahoma" w:hAnsi="Tahoma" w:cs="Tahoma"/>
          <w:noProof/>
          <w:lang w:val="sr-Cyrl-RS"/>
        </w:rPr>
      </w:pPr>
      <w:r w:rsidRPr="008A3B74">
        <w:rPr>
          <w:rFonts w:ascii="Tahoma" w:hAnsi="Tahoma" w:cs="Tahoma"/>
          <w:noProof/>
          <w:sz w:val="22"/>
          <w:szCs w:val="22"/>
          <w:lang w:val="sr-Cyrl-RS"/>
        </w:rPr>
        <w:t>На економск</w:t>
      </w:r>
      <w:r w:rsidR="00AA4D41" w:rsidRPr="008A3B74">
        <w:rPr>
          <w:rFonts w:ascii="Tahoma" w:hAnsi="Tahoma" w:cs="Tahoma"/>
          <w:noProof/>
          <w:sz w:val="22"/>
          <w:szCs w:val="22"/>
          <w:lang w:val="sr-Cyrl-RS"/>
        </w:rPr>
        <w:t>им класификацијама по издацима за набавку нефинансијске имовине</w:t>
      </w:r>
      <w:r w:rsidRPr="008A3B74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Pr="008A3B74">
        <w:rPr>
          <w:rFonts w:ascii="Tahoma" w:hAnsi="Tahoma" w:cs="Tahoma"/>
          <w:b/>
          <w:bCs/>
          <w:noProof/>
          <w:sz w:val="22"/>
          <w:szCs w:val="22"/>
          <w:lang w:val="sr-Cyrl-RS"/>
        </w:rPr>
        <w:t>511 – Зграде и грађевински објекти</w:t>
      </w:r>
      <w:r w:rsidR="00AA4D41" w:rsidRPr="008A3B74">
        <w:rPr>
          <w:rFonts w:ascii="Tahoma" w:hAnsi="Tahoma" w:cs="Tahoma"/>
          <w:b/>
          <w:bCs/>
          <w:noProof/>
          <w:sz w:val="22"/>
          <w:szCs w:val="22"/>
          <w:lang w:val="sr-Cyrl-RS"/>
        </w:rPr>
        <w:t>, 512 – Машина и опрема,</w:t>
      </w:r>
      <w:r w:rsidR="007E092D" w:rsidRPr="008A3B74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</w:t>
      </w:r>
      <w:r w:rsidR="00F7447C" w:rsidRPr="008A3B74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514 – Култивисана имовина, </w:t>
      </w:r>
      <w:r w:rsidR="00AA4D41" w:rsidRPr="008A3B74">
        <w:rPr>
          <w:rFonts w:ascii="Tahoma" w:hAnsi="Tahoma" w:cs="Tahoma"/>
          <w:b/>
          <w:bCs/>
          <w:noProof/>
          <w:sz w:val="22"/>
          <w:szCs w:val="22"/>
          <w:lang w:val="sr-Cyrl-RS"/>
        </w:rPr>
        <w:t>515 – Нематеријална имовина</w:t>
      </w:r>
      <w:r w:rsidR="004C3B5E" w:rsidRPr="008A3B74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</w:t>
      </w:r>
      <w:r w:rsidR="00AA4D41" w:rsidRPr="008A3B74">
        <w:rPr>
          <w:rFonts w:ascii="Tahoma" w:hAnsi="Tahoma" w:cs="Tahoma"/>
          <w:b/>
          <w:bCs/>
          <w:noProof/>
          <w:sz w:val="22"/>
          <w:szCs w:val="22"/>
          <w:lang w:val="sr-Cyrl-RS"/>
        </w:rPr>
        <w:t>и 541 - Земљиште</w:t>
      </w:r>
      <w:r w:rsidRPr="008A3B74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4971E2" w:rsidRPr="008A3B74">
        <w:rPr>
          <w:rFonts w:ascii="Tahoma" w:hAnsi="Tahoma" w:cs="Tahoma"/>
          <w:noProof/>
          <w:sz w:val="22"/>
          <w:szCs w:val="22"/>
          <w:lang w:val="sr-Cyrl-RS"/>
        </w:rPr>
        <w:t xml:space="preserve">општина </w:t>
      </w:r>
      <w:r w:rsidR="00FF47A9" w:rsidRPr="008A3B74">
        <w:rPr>
          <w:rFonts w:ascii="Tahoma" w:hAnsi="Tahoma" w:cs="Tahoma"/>
          <w:noProof/>
          <w:sz w:val="22"/>
          <w:szCs w:val="22"/>
          <w:lang w:val="sr-Cyrl-RS"/>
        </w:rPr>
        <w:t>С</w:t>
      </w:r>
      <w:r w:rsidR="008A3B74">
        <w:rPr>
          <w:rFonts w:ascii="Tahoma" w:hAnsi="Tahoma" w:cs="Tahoma"/>
          <w:noProof/>
          <w:sz w:val="22"/>
          <w:szCs w:val="22"/>
          <w:lang w:val="sr-Cyrl-RS"/>
        </w:rPr>
        <w:t>медеревска Паланка</w:t>
      </w:r>
      <w:r w:rsidR="00AA4D41" w:rsidRPr="008A3B74">
        <w:rPr>
          <w:rFonts w:ascii="Tahoma" w:hAnsi="Tahoma" w:cs="Tahoma"/>
          <w:noProof/>
          <w:sz w:val="22"/>
          <w:szCs w:val="22"/>
          <w:lang w:val="sr-Cyrl-RS"/>
        </w:rPr>
        <w:t xml:space="preserve"> извршава издатке у вредности од </w:t>
      </w:r>
      <w:r w:rsidR="002217C9">
        <w:rPr>
          <w:rFonts w:ascii="Tahoma" w:hAnsi="Tahoma" w:cs="Tahoma"/>
          <w:noProof/>
          <w:sz w:val="22"/>
          <w:szCs w:val="22"/>
          <w:lang w:val="sr-Cyrl-RS"/>
        </w:rPr>
        <w:t>2</w:t>
      </w:r>
      <w:r w:rsidR="00224E6D">
        <w:rPr>
          <w:rFonts w:ascii="Tahoma" w:hAnsi="Tahoma" w:cs="Tahoma"/>
          <w:noProof/>
          <w:sz w:val="22"/>
          <w:szCs w:val="22"/>
          <w:lang w:val="sr-Cyrl-RS"/>
        </w:rPr>
        <w:t>10</w:t>
      </w:r>
      <w:r w:rsidR="004971E2" w:rsidRPr="008A3B74">
        <w:rPr>
          <w:rFonts w:ascii="Tahoma" w:hAnsi="Tahoma" w:cs="Tahoma"/>
          <w:noProof/>
          <w:sz w:val="22"/>
          <w:szCs w:val="22"/>
          <w:lang w:val="sr-Cyrl-RS"/>
        </w:rPr>
        <w:t xml:space="preserve"> милиона</w:t>
      </w:r>
      <w:r w:rsidR="00AA4D41" w:rsidRPr="008A3B74">
        <w:rPr>
          <w:rFonts w:ascii="Tahoma" w:hAnsi="Tahoma" w:cs="Tahoma"/>
          <w:noProof/>
          <w:sz w:val="22"/>
          <w:szCs w:val="22"/>
          <w:lang w:val="sr-Cyrl-RS"/>
        </w:rPr>
        <w:t xml:space="preserve"> динара у анализираном периоду што представља релативно учешће ових издатака у укупних расходима и издацима буџета у висини од </w:t>
      </w:r>
      <w:r w:rsidR="00224E6D">
        <w:rPr>
          <w:rFonts w:ascii="Tahoma" w:hAnsi="Tahoma" w:cs="Tahoma"/>
          <w:noProof/>
          <w:sz w:val="22"/>
          <w:szCs w:val="22"/>
          <w:lang w:val="sr-Cyrl-RS"/>
        </w:rPr>
        <w:t>свега 5,67</w:t>
      </w:r>
      <w:r w:rsidR="00AA4D41" w:rsidRPr="008A3B74">
        <w:rPr>
          <w:rFonts w:ascii="Tahoma" w:hAnsi="Tahoma" w:cs="Tahoma"/>
          <w:noProof/>
          <w:sz w:val="22"/>
          <w:szCs w:val="22"/>
          <w:lang w:val="sr-Cyrl-RS"/>
        </w:rPr>
        <w:t>%</w:t>
      </w:r>
      <w:r w:rsidR="006C6EBC" w:rsidRPr="008A3B74">
        <w:rPr>
          <w:rFonts w:ascii="Tahoma" w:hAnsi="Tahoma" w:cs="Tahoma"/>
          <w:noProof/>
          <w:sz w:val="22"/>
          <w:szCs w:val="22"/>
          <w:lang w:val="sr-Cyrl-RS"/>
        </w:rPr>
        <w:t>. Предметно учешће</w:t>
      </w:r>
      <w:r w:rsidR="00AC6CC7" w:rsidRPr="008A3B74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76724D" w:rsidRPr="008A3B74">
        <w:rPr>
          <w:rFonts w:ascii="Tahoma" w:hAnsi="Tahoma" w:cs="Tahoma"/>
          <w:noProof/>
          <w:sz w:val="22"/>
          <w:szCs w:val="22"/>
          <w:lang w:val="sr-Cyrl-RS"/>
        </w:rPr>
        <w:t>не достиже</w:t>
      </w:r>
      <w:r w:rsidR="00AC6CC7" w:rsidRPr="008A3B74">
        <w:rPr>
          <w:rFonts w:ascii="Tahoma" w:hAnsi="Tahoma" w:cs="Tahoma"/>
          <w:noProof/>
          <w:sz w:val="22"/>
          <w:szCs w:val="22"/>
          <w:lang w:val="sr-Cyrl-RS"/>
        </w:rPr>
        <w:t xml:space="preserve"> п</w:t>
      </w:r>
      <w:r w:rsidR="00AA4D41" w:rsidRPr="008A3B74">
        <w:rPr>
          <w:rFonts w:ascii="Tahoma" w:hAnsi="Tahoma" w:cs="Tahoma"/>
          <w:noProof/>
          <w:sz w:val="22"/>
          <w:szCs w:val="22"/>
          <w:lang w:val="sr-Cyrl-RS"/>
        </w:rPr>
        <w:t xml:space="preserve">росечно релативно учешће издатака буџета осталих </w:t>
      </w:r>
      <w:r w:rsidR="004971E2" w:rsidRPr="008A3B74">
        <w:rPr>
          <w:rFonts w:ascii="Tahoma" w:hAnsi="Tahoma" w:cs="Tahoma"/>
          <w:noProof/>
          <w:sz w:val="22"/>
          <w:szCs w:val="22"/>
          <w:lang w:val="sr-Cyrl-RS"/>
        </w:rPr>
        <w:t>општина</w:t>
      </w:r>
      <w:r w:rsidR="00AC6CC7" w:rsidRPr="008A3B74">
        <w:rPr>
          <w:rFonts w:ascii="Tahoma" w:hAnsi="Tahoma" w:cs="Tahoma"/>
          <w:noProof/>
          <w:sz w:val="22"/>
          <w:szCs w:val="22"/>
          <w:lang w:val="sr-Cyrl-RS"/>
        </w:rPr>
        <w:t xml:space="preserve"> у региону, што</w:t>
      </w:r>
      <w:r w:rsidR="00AA4D41" w:rsidRPr="008A3B74">
        <w:rPr>
          <w:rFonts w:ascii="Tahoma" w:hAnsi="Tahoma" w:cs="Tahoma"/>
          <w:noProof/>
          <w:sz w:val="22"/>
          <w:szCs w:val="22"/>
          <w:lang w:val="sr-Cyrl-RS"/>
        </w:rPr>
        <w:t xml:space="preserve"> износи </w:t>
      </w:r>
      <w:r w:rsidR="00E04484" w:rsidRPr="008A3B74">
        <w:rPr>
          <w:rFonts w:ascii="Tahoma" w:hAnsi="Tahoma" w:cs="Tahoma"/>
          <w:noProof/>
          <w:sz w:val="22"/>
          <w:szCs w:val="22"/>
          <w:lang w:val="sr-Cyrl-RS"/>
        </w:rPr>
        <w:t>14,7</w:t>
      </w:r>
      <w:r w:rsidR="00AA4D41" w:rsidRPr="008A3B74">
        <w:rPr>
          <w:rFonts w:ascii="Tahoma" w:hAnsi="Tahoma" w:cs="Tahoma"/>
          <w:noProof/>
          <w:sz w:val="22"/>
          <w:szCs w:val="22"/>
          <w:lang w:val="sr-Cyrl-RS"/>
        </w:rPr>
        <w:t>%.</w:t>
      </w:r>
    </w:p>
    <w:p w14:paraId="23B5482E" w14:textId="6B697CA8" w:rsidR="008F4EF6" w:rsidRPr="00224E6D" w:rsidRDefault="008F4EF6" w:rsidP="00A22A23">
      <w:pPr>
        <w:pStyle w:val="NormalWeb"/>
        <w:spacing w:before="0" w:beforeAutospacing="0" w:after="160" w:line="259" w:lineRule="auto"/>
        <w:jc w:val="both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  <w:r w:rsidRPr="00224E6D">
        <w:rPr>
          <w:rFonts w:ascii="Tahoma" w:hAnsi="Tahoma" w:cs="Tahoma"/>
          <w:b/>
          <w:iCs/>
          <w:noProof/>
          <w:sz w:val="18"/>
          <w:szCs w:val="18"/>
          <w:lang w:val="sr-Cyrl-RS"/>
        </w:rPr>
        <w:t>Напомена:</w:t>
      </w:r>
      <w:r w:rsidRPr="00224E6D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</w:t>
      </w:r>
      <w:r w:rsidRPr="00224E6D">
        <w:rPr>
          <w:rFonts w:ascii="Tahoma" w:hAnsi="Tahoma" w:cs="Tahoma"/>
          <w:noProof/>
          <w:sz w:val="18"/>
          <w:szCs w:val="18"/>
          <w:lang w:val="sr-Cyrl-RS"/>
        </w:rPr>
        <w:t>Извори података о просечним издвајањима по категоријама расхода – економској класификацији за општине (</w:t>
      </w:r>
      <w:r w:rsidR="00A03152" w:rsidRPr="00224E6D">
        <w:rPr>
          <w:rFonts w:ascii="Tahoma" w:hAnsi="Tahoma" w:cs="Tahoma"/>
          <w:noProof/>
          <w:sz w:val="18"/>
          <w:szCs w:val="18"/>
          <w:lang w:val="sr-Cyrl-RS"/>
        </w:rPr>
        <w:t>38</w:t>
      </w:r>
      <w:r w:rsidRPr="00224E6D">
        <w:rPr>
          <w:rFonts w:ascii="Tahoma" w:hAnsi="Tahoma" w:cs="Tahoma"/>
          <w:noProof/>
          <w:sz w:val="18"/>
          <w:szCs w:val="18"/>
          <w:lang w:val="sr-Cyrl-RS"/>
        </w:rPr>
        <w:t xml:space="preserve">) у региону </w:t>
      </w:r>
      <w:r w:rsidR="00A03152" w:rsidRPr="00224E6D">
        <w:rPr>
          <w:rFonts w:ascii="Tahoma" w:hAnsi="Tahoma" w:cs="Tahoma"/>
          <w:noProof/>
          <w:sz w:val="18"/>
          <w:szCs w:val="18"/>
          <w:lang w:val="sr-Cyrl-RS"/>
        </w:rPr>
        <w:t xml:space="preserve">Јужне и </w:t>
      </w:r>
      <w:r w:rsidR="000F5371" w:rsidRPr="00224E6D">
        <w:rPr>
          <w:rFonts w:ascii="Tahoma" w:hAnsi="Tahoma" w:cs="Tahoma"/>
          <w:noProof/>
          <w:sz w:val="18"/>
          <w:szCs w:val="18"/>
          <w:lang w:val="sr-Cyrl-RS"/>
        </w:rPr>
        <w:t>Источне</w:t>
      </w:r>
      <w:r w:rsidRPr="00224E6D">
        <w:rPr>
          <w:rFonts w:ascii="Tahoma" w:hAnsi="Tahoma" w:cs="Tahoma"/>
          <w:noProof/>
          <w:sz w:val="18"/>
          <w:szCs w:val="18"/>
          <w:lang w:val="sr-Cyrl-RS"/>
        </w:rPr>
        <w:t xml:space="preserve"> Србије: РСЈП -</w:t>
      </w:r>
      <w:r w:rsidRPr="00224E6D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аналитички сервис и  аналитичко-извештајни систем ЈЛС - прорачун</w:t>
      </w:r>
    </w:p>
    <w:p w14:paraId="4C93F976" w14:textId="7C9ED2C4" w:rsidR="008F4EF6" w:rsidRPr="008F4EF6" w:rsidRDefault="008F4EF6" w:rsidP="008F4EF6">
      <w:pPr>
        <w:pStyle w:val="NormalWeb"/>
        <w:spacing w:before="0" w:beforeAutospacing="0" w:after="160" w:line="259" w:lineRule="auto"/>
        <w:jc w:val="both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</w:p>
    <w:p w14:paraId="7EFB5014" w14:textId="3B3BF7D4" w:rsidR="00920757" w:rsidRPr="007D29DC" w:rsidRDefault="008F4EF6" w:rsidP="007D29DC">
      <w:pPr>
        <w:pStyle w:val="NormalWeb"/>
        <w:spacing w:before="0" w:beforeAutospacing="0" w:after="160" w:line="259" w:lineRule="auto"/>
        <w:jc w:val="both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  <w:r w:rsidRPr="008B5ABD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lastRenderedPageBreak/>
        <mc:AlternateContent>
          <mc:Choice Requires="wps">
            <w:drawing>
              <wp:anchor distT="91440" distB="91440" distL="114300" distR="114300" simplePos="0" relativeHeight="251670528" behindDoc="0" locked="0" layoutInCell="1" allowOverlap="1" wp14:anchorId="2E964627" wp14:editId="0EC44374">
                <wp:simplePos x="0" y="0"/>
                <wp:positionH relativeFrom="margin">
                  <wp:posOffset>-44938</wp:posOffset>
                </wp:positionH>
                <wp:positionV relativeFrom="paragraph">
                  <wp:posOffset>2442</wp:posOffset>
                </wp:positionV>
                <wp:extent cx="5943600" cy="2603500"/>
                <wp:effectExtent l="0" t="0" r="19050" b="2540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0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F32A2" w14:textId="55CD6C94" w:rsidR="00A65D8C" w:rsidRPr="00495694" w:rsidRDefault="00A65D8C" w:rsidP="00A65D8C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Индикатори за потребе израде анализе стања и праћења достизања циљева одрживог развоја – 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економска класификација расхода</w:t>
                            </w: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3FF636FC" w14:textId="50431830" w:rsidR="00A65D8C" w:rsidRPr="00495694" w:rsidRDefault="00A65D8C" w:rsidP="00A65D8C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Релативно учешће 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расхода за запослене </w:t>
                            </w:r>
                            <w:r w:rsidR="00862683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(410000)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у укупним </w:t>
                            </w:r>
                            <w:r w:rsidR="00862683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извршеним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расходима и издацима буџета </w:t>
                            </w:r>
                            <w:r w:rsidR="00A2111A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општине</w:t>
                            </w:r>
                          </w:p>
                          <w:p w14:paraId="63A83BFC" w14:textId="13875331" w:rsidR="00A65D8C" w:rsidRDefault="00A65D8C" w:rsidP="00A65D8C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2. Релативно учешће </w:t>
                            </w:r>
                            <w:r w:rsidR="00862683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субвенција (450000)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у укупним извршеним расходима и издацима буџета </w:t>
                            </w:r>
                            <w:r w:rsidR="00A2111A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општине</w:t>
                            </w:r>
                          </w:p>
                          <w:p w14:paraId="71F41F48" w14:textId="707B228A" w:rsidR="00862683" w:rsidRDefault="00862683" w:rsidP="00A65D8C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3. Релативно учешће издатака за набавку нефинансијске имовине (500000) у укупним извршеним расходима и издацима буџета </w:t>
                            </w:r>
                            <w:r w:rsidR="00A2111A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општине</w:t>
                            </w:r>
                          </w:p>
                          <w:p w14:paraId="351B463F" w14:textId="6A2CF7D7" w:rsidR="00862683" w:rsidRDefault="00862683" w:rsidP="00A65D8C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4. Релативно учешће отплате главнице (610000) у укупним извршеним расходима и издацима буџета </w:t>
                            </w:r>
                            <w:r w:rsidR="00A2111A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општине</w:t>
                            </w:r>
                          </w:p>
                          <w:p w14:paraId="65CE3E09" w14:textId="77777777" w:rsidR="00862683" w:rsidRPr="00495694" w:rsidRDefault="00862683" w:rsidP="00A65D8C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12159A" w14:textId="77777777" w:rsidR="00A65D8C" w:rsidRPr="00495694" w:rsidRDefault="00A65D8C" w:rsidP="00A65D8C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8D393BA" w14:textId="77777777" w:rsidR="00A65D8C" w:rsidRPr="00495694" w:rsidRDefault="00A65D8C" w:rsidP="00A65D8C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5B9BD5" w:themeColor="accent1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D73E27" w14:textId="77777777" w:rsidR="00A65D8C" w:rsidRPr="00495694" w:rsidRDefault="00A65D8C" w:rsidP="00A65D8C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64627" id="_x0000_s1032" type="#_x0000_t202" style="position:absolute;left:0;text-align:left;margin-left:-3.55pt;margin-top:.2pt;width:468pt;height:205pt;z-index:2516705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" fillcolor="white [3201]" strokecolor="#2f5496 [2408]" strokeweight="1pt">
                <v:textbox>
                  <w:txbxContent>
                    <w:p w14:paraId="376F32A2" w14:textId="55CD6C94" w:rsidR="00A65D8C" w:rsidRPr="00495694" w:rsidRDefault="00A65D8C" w:rsidP="00A65D8C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Индикатори за потребе израде анализе стања и праћења достизања циљева одрживог развоја – </w:t>
                      </w:r>
                      <w:r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економска класификација расхода</w:t>
                      </w: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3FF636FC" w14:textId="50431830" w:rsidR="00A65D8C" w:rsidRPr="00495694" w:rsidRDefault="00A65D8C" w:rsidP="00A65D8C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Релативно учешће 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расхода за запослене </w:t>
                      </w:r>
                      <w:r w:rsidR="00862683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(410000)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у укупним </w:t>
                      </w:r>
                      <w:r w:rsidR="00862683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извршеним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расходима и издацима буџета </w:t>
                      </w:r>
                      <w:r w:rsidR="00A2111A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општине</w:t>
                      </w:r>
                    </w:p>
                    <w:p w14:paraId="63A83BFC" w14:textId="13875331" w:rsidR="00A65D8C" w:rsidRDefault="00A65D8C" w:rsidP="00A65D8C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2. Релативно учешће </w:t>
                      </w:r>
                      <w:r w:rsidR="00862683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субвенција (450000)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у укупним извршеним расходима и издацима буџета </w:t>
                      </w:r>
                      <w:r w:rsidR="00A2111A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општине</w:t>
                      </w:r>
                    </w:p>
                    <w:p w14:paraId="71F41F48" w14:textId="707B228A" w:rsidR="00862683" w:rsidRDefault="00862683" w:rsidP="00A65D8C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3. Релативно учешће издатака за набавку нефинансијске имовине (500000) у укупним извршеним расходима и издацима буџета </w:t>
                      </w:r>
                      <w:r w:rsidR="00A2111A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општине</w:t>
                      </w:r>
                    </w:p>
                    <w:p w14:paraId="351B463F" w14:textId="6A2CF7D7" w:rsidR="00862683" w:rsidRDefault="00862683" w:rsidP="00A65D8C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4. Релативно учешће отплате главнице (610000) у укупним извршеним расходима и издацима буџета </w:t>
                      </w:r>
                      <w:r w:rsidR="00A2111A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општине</w:t>
                      </w:r>
                    </w:p>
                    <w:p w14:paraId="65CE3E09" w14:textId="77777777" w:rsidR="00862683" w:rsidRPr="00495694" w:rsidRDefault="00862683" w:rsidP="00A65D8C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12159A" w14:textId="77777777" w:rsidR="00A65D8C" w:rsidRPr="00495694" w:rsidRDefault="00A65D8C" w:rsidP="00A65D8C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8D393BA" w14:textId="77777777" w:rsidR="00A65D8C" w:rsidRPr="00495694" w:rsidRDefault="00A65D8C" w:rsidP="00A65D8C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5B9BD5" w:themeColor="accent1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7D73E27" w14:textId="77777777" w:rsidR="00A65D8C" w:rsidRPr="00495694" w:rsidRDefault="00A65D8C" w:rsidP="00A65D8C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282E74B" w14:textId="22ABFE00" w:rsidR="007D29DC" w:rsidRPr="00F82A7F" w:rsidRDefault="007D29DC" w:rsidP="00342CE3">
      <w:pPr>
        <w:spacing w:after="160" w:line="259" w:lineRule="auto"/>
        <w:jc w:val="both"/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</w:p>
    <w:p w14:paraId="74AC4F02" w14:textId="213A98EF" w:rsidR="004F59CB" w:rsidRDefault="004F59CB" w:rsidP="00342CE3">
      <w:pPr>
        <w:pStyle w:val="Heading3"/>
        <w:numPr>
          <w:ilvl w:val="0"/>
          <w:numId w:val="0"/>
        </w:numPr>
        <w:spacing w:before="0" w:after="160" w:line="259" w:lineRule="auto"/>
        <w:jc w:val="both"/>
        <w:rPr>
          <w:rFonts w:ascii="Tahoma" w:hAnsi="Tahoma" w:cs="Tahoma"/>
          <w:b/>
          <w:bCs/>
          <w:noProof/>
          <w:lang w:val="sr-Cyrl-RS"/>
        </w:rPr>
      </w:pPr>
      <w:r w:rsidRPr="00F67578">
        <w:rPr>
          <w:rFonts w:ascii="Tahoma" w:hAnsi="Tahoma" w:cs="Tahoma"/>
          <w:b/>
          <w:bCs/>
          <w:noProof/>
          <w:lang w:val="en-US"/>
        </w:rPr>
        <w:t>3</w:t>
      </w:r>
      <w:r>
        <w:rPr>
          <w:rFonts w:ascii="Tahoma" w:hAnsi="Tahoma" w:cs="Tahoma"/>
          <w:b/>
          <w:bCs/>
          <w:noProof/>
          <w:lang w:val="en-US"/>
        </w:rPr>
        <w:t>.4</w:t>
      </w:r>
      <w:r w:rsidRPr="00F67578">
        <w:rPr>
          <w:rFonts w:ascii="Tahoma" w:hAnsi="Tahoma" w:cs="Tahoma"/>
          <w:b/>
          <w:bCs/>
          <w:noProof/>
          <w:lang w:val="en-US"/>
        </w:rPr>
        <w:t xml:space="preserve">. </w:t>
      </w:r>
      <w:r>
        <w:rPr>
          <w:rFonts w:ascii="Tahoma" w:hAnsi="Tahoma" w:cs="Tahoma"/>
          <w:b/>
          <w:bCs/>
          <w:noProof/>
          <w:lang w:val="en-US"/>
        </w:rPr>
        <w:t>K</w:t>
      </w:r>
      <w:r w:rsidRPr="00F67578">
        <w:rPr>
          <w:rFonts w:ascii="Tahoma" w:hAnsi="Tahoma" w:cs="Tahoma"/>
          <w:b/>
          <w:bCs/>
          <w:noProof/>
          <w:lang w:val="sr-Cyrl-RS"/>
        </w:rPr>
        <w:t>ласификација</w:t>
      </w:r>
      <w:r w:rsidRPr="00F67578">
        <w:rPr>
          <w:rFonts w:ascii="Tahoma" w:hAnsi="Tahoma" w:cs="Tahoma"/>
          <w:b/>
          <w:bCs/>
          <w:noProof/>
          <w:lang w:val="sr-Cyrl-BA"/>
        </w:rPr>
        <w:t xml:space="preserve"> </w:t>
      </w:r>
      <w:r>
        <w:rPr>
          <w:rFonts w:ascii="Tahoma" w:hAnsi="Tahoma" w:cs="Tahoma"/>
          <w:b/>
          <w:bCs/>
          <w:noProof/>
          <w:lang w:val="sr-Cyrl-RS"/>
        </w:rPr>
        <w:t>по изворима финансирања</w:t>
      </w:r>
    </w:p>
    <w:p w14:paraId="6009CD62" w14:textId="73190A28" w:rsidR="004F59CB" w:rsidRDefault="004F59CB" w:rsidP="00342CE3">
      <w:pPr>
        <w:pStyle w:val="BodyText"/>
        <w:spacing w:after="160" w:line="259" w:lineRule="auto"/>
        <w:jc w:val="both"/>
        <w:rPr>
          <w:lang w:val="sr-Cyrl-RS"/>
        </w:rPr>
      </w:pPr>
    </w:p>
    <w:p w14:paraId="22A78D67" w14:textId="7B3B39C3" w:rsidR="004F59CB" w:rsidRPr="00685B04" w:rsidRDefault="007C2A7D" w:rsidP="00342CE3">
      <w:pPr>
        <w:pStyle w:val="BodyText"/>
        <w:spacing w:after="160" w:line="259" w:lineRule="auto"/>
        <w:jc w:val="both"/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685B04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Класификација расхода и издатака према изворима финансирања исказује приходе и примања, расходе и издатке према основу остварења тих средстава.</w:t>
      </w:r>
      <w:r w:rsidRPr="00685B04">
        <w:rPr>
          <w:rFonts w:ascii="Tahoma" w:hAnsi="Tahoma" w:cs="Tahoma"/>
          <w:b/>
          <w:bCs/>
          <w:noProof/>
          <w:color w:val="auto"/>
          <w:sz w:val="22"/>
          <w:szCs w:val="22"/>
          <w:lang w:val="en-US"/>
        </w:rPr>
        <w:t xml:space="preserve"> </w:t>
      </w:r>
      <w:r w:rsidR="00402272" w:rsidRPr="00685B04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Наредни табеларни приказ бр. </w:t>
      </w:r>
      <w:r w:rsidR="00483A7D">
        <w:rPr>
          <w:rFonts w:ascii="Tahoma" w:hAnsi="Tahoma" w:cs="Tahoma"/>
          <w:noProof/>
          <w:color w:val="auto"/>
          <w:sz w:val="22"/>
          <w:szCs w:val="22"/>
          <w:lang w:val="sr-Cyrl-RS"/>
        </w:rPr>
        <w:t>6</w:t>
      </w:r>
      <w:r w:rsidR="00402272" w:rsidRPr="00685B04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представља распоред финансирања расхода и издатака из буџета </w:t>
      </w:r>
      <w:r w:rsidR="002E6DA6" w:rsidRPr="00685B04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општине </w:t>
      </w:r>
      <w:r w:rsidR="00E4328E">
        <w:rPr>
          <w:rFonts w:ascii="Tahoma" w:hAnsi="Tahoma" w:cs="Tahoma"/>
          <w:noProof/>
          <w:color w:val="auto"/>
          <w:sz w:val="22"/>
          <w:szCs w:val="22"/>
          <w:lang w:val="sr-Cyrl-RS"/>
        </w:rPr>
        <w:t>Смедеревска Паланка</w:t>
      </w:r>
      <w:r w:rsidR="00402272" w:rsidRPr="00685B04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из угла извора прихода и примања.</w:t>
      </w:r>
    </w:p>
    <w:p w14:paraId="37A03232" w14:textId="0939D43F" w:rsidR="005C4F26" w:rsidRDefault="00402272" w:rsidP="00342CE3">
      <w:pPr>
        <w:spacing w:after="160" w:line="259" w:lineRule="auto"/>
        <w:jc w:val="both"/>
        <w:rPr>
          <w:rFonts w:ascii="Tahoma" w:hAnsi="Tahoma" w:cs="Tahoma"/>
          <w:bCs/>
          <w:iCs/>
          <w:sz w:val="22"/>
          <w:szCs w:val="22"/>
          <w:lang w:val="sr-Cyrl-BA"/>
        </w:rPr>
      </w:pPr>
      <w:r w:rsidRPr="00236987">
        <w:rPr>
          <w:rFonts w:ascii="Tahoma" w:hAnsi="Tahoma" w:cs="Tahoma"/>
          <w:b/>
          <w:iCs/>
          <w:sz w:val="22"/>
          <w:szCs w:val="22"/>
          <w:lang w:val="sr-Cyrl-BA"/>
        </w:rPr>
        <w:t xml:space="preserve">Табела бр. </w:t>
      </w:r>
      <w:r>
        <w:rPr>
          <w:rFonts w:ascii="Tahoma" w:hAnsi="Tahoma" w:cs="Tahoma"/>
          <w:b/>
          <w:iCs/>
          <w:sz w:val="22"/>
          <w:szCs w:val="22"/>
          <w:lang w:val="sr-Cyrl-BA"/>
        </w:rPr>
        <w:t>6</w:t>
      </w:r>
      <w:r w:rsidRPr="00236987">
        <w:rPr>
          <w:rFonts w:ascii="Tahoma" w:hAnsi="Tahoma" w:cs="Tahoma"/>
          <w:b/>
          <w:iCs/>
          <w:sz w:val="22"/>
          <w:szCs w:val="22"/>
          <w:lang w:val="sr-Cyrl-BA"/>
        </w:rPr>
        <w:t>.</w:t>
      </w:r>
      <w:r w:rsidRPr="00236987">
        <w:rPr>
          <w:rFonts w:ascii="Tahoma" w:hAnsi="Tahoma" w:cs="Tahoma"/>
          <w:bCs/>
          <w:iCs/>
          <w:sz w:val="22"/>
          <w:szCs w:val="22"/>
          <w:lang w:val="sr-Cyrl-BA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  <w:lang w:val="sr-Cyrl-BA"/>
        </w:rPr>
        <w:t xml:space="preserve">Извршење буџета </w:t>
      </w:r>
      <w:r w:rsidR="002E6DA6">
        <w:rPr>
          <w:rFonts w:ascii="Tahoma" w:hAnsi="Tahoma" w:cs="Tahoma"/>
          <w:bCs/>
          <w:iCs/>
          <w:sz w:val="22"/>
          <w:szCs w:val="22"/>
          <w:lang w:val="sr-Cyrl-BA"/>
        </w:rPr>
        <w:t xml:space="preserve">општине </w:t>
      </w:r>
      <w:r w:rsidR="00224DAC">
        <w:rPr>
          <w:rFonts w:ascii="Tahoma" w:hAnsi="Tahoma" w:cs="Tahoma"/>
          <w:bCs/>
          <w:iCs/>
          <w:sz w:val="22"/>
          <w:szCs w:val="22"/>
          <w:lang w:val="sr-Cyrl-BA"/>
        </w:rPr>
        <w:t>С</w:t>
      </w:r>
      <w:r w:rsidR="00E4328E">
        <w:rPr>
          <w:rFonts w:ascii="Tahoma" w:hAnsi="Tahoma" w:cs="Tahoma"/>
          <w:bCs/>
          <w:iCs/>
          <w:sz w:val="22"/>
          <w:szCs w:val="22"/>
          <w:lang w:val="sr-Cyrl-BA"/>
        </w:rPr>
        <w:t>медеревска Паланка</w:t>
      </w:r>
      <w:r>
        <w:rPr>
          <w:rFonts w:ascii="Tahoma" w:hAnsi="Tahoma" w:cs="Tahoma"/>
          <w:bCs/>
          <w:iCs/>
          <w:sz w:val="22"/>
          <w:szCs w:val="22"/>
          <w:lang w:val="sr-Cyrl-BA"/>
        </w:rPr>
        <w:t xml:space="preserve"> </w:t>
      </w:r>
      <w:r w:rsidR="000D4B38">
        <w:rPr>
          <w:rFonts w:ascii="Tahoma" w:hAnsi="Tahoma" w:cs="Tahoma"/>
          <w:bCs/>
          <w:iCs/>
          <w:sz w:val="22"/>
          <w:szCs w:val="22"/>
          <w:lang w:val="sr-Cyrl-BA"/>
        </w:rPr>
        <w:t xml:space="preserve">по изворима финансирања расхода и издатака </w:t>
      </w:r>
      <w:r>
        <w:rPr>
          <w:rFonts w:ascii="Tahoma" w:hAnsi="Tahoma" w:cs="Tahoma"/>
          <w:bCs/>
          <w:iCs/>
          <w:sz w:val="22"/>
          <w:szCs w:val="22"/>
          <w:lang w:val="sr-Cyrl-BA"/>
        </w:rPr>
        <w:t xml:space="preserve">у временском периоду 2019-2021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180"/>
        <w:gridCol w:w="4130"/>
        <w:gridCol w:w="1440"/>
        <w:gridCol w:w="1260"/>
        <w:gridCol w:w="1350"/>
      </w:tblGrid>
      <w:tr w:rsidR="002E6DA6" w:rsidRPr="002E6DA6" w14:paraId="1A61AC52" w14:textId="77777777" w:rsidTr="00C1090D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84F4" w14:textId="77777777" w:rsidR="002E6DA6" w:rsidRPr="002E6DA6" w:rsidRDefault="002E6DA6" w:rsidP="002E6DA6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4F7E" w14:textId="77777777" w:rsidR="002E6DA6" w:rsidRPr="002E6DA6" w:rsidRDefault="002E6DA6" w:rsidP="002E6DA6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8038" w14:textId="77777777" w:rsidR="002E6DA6" w:rsidRPr="002E6DA6" w:rsidRDefault="002E6DA6" w:rsidP="002E6DA6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D051" w14:textId="77777777" w:rsidR="002E6DA6" w:rsidRPr="002E6DA6" w:rsidRDefault="002E6DA6" w:rsidP="002E6DA6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2BCD" w14:textId="77777777" w:rsidR="002E6DA6" w:rsidRDefault="002E6DA6" w:rsidP="002E6DA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 000 динара</w:t>
            </w:r>
          </w:p>
          <w:p w14:paraId="5C0A8373" w14:textId="17B2672F" w:rsidR="005C4F26" w:rsidRPr="002E6DA6" w:rsidRDefault="005C4F26" w:rsidP="002E6DA6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</w:p>
        </w:tc>
      </w:tr>
      <w:tr w:rsidR="002E6DA6" w:rsidRPr="002E6DA6" w14:paraId="0EC27038" w14:textId="77777777" w:rsidTr="00C1090D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01C7B97" w14:textId="77777777" w:rsidR="002E6DA6" w:rsidRPr="002E6DA6" w:rsidRDefault="002E6DA6" w:rsidP="002E6DA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 xml:space="preserve">Ознака извора </w:t>
            </w:r>
          </w:p>
        </w:tc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E135D" w14:textId="77777777" w:rsidR="002E6DA6" w:rsidRPr="002E6DA6" w:rsidRDefault="002E6DA6" w:rsidP="002E6DA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Класификација са називима извора финансирања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49F9C9E0" w14:textId="77777777" w:rsidR="002E6DA6" w:rsidRPr="002E6DA6" w:rsidRDefault="002E6DA6" w:rsidP="002E6DA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Буџетске године</w:t>
            </w:r>
          </w:p>
        </w:tc>
      </w:tr>
      <w:tr w:rsidR="002E6DA6" w:rsidRPr="002E6DA6" w14:paraId="388FAD9E" w14:textId="77777777" w:rsidTr="00C1090D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BFA7" w14:textId="77777777" w:rsidR="002E6DA6" w:rsidRPr="002E6DA6" w:rsidRDefault="002E6DA6" w:rsidP="002E6DA6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430F" w14:textId="77777777" w:rsidR="002E6DA6" w:rsidRPr="002E6DA6" w:rsidRDefault="002E6DA6" w:rsidP="002E6DA6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8F964AD" w14:textId="77777777" w:rsidR="002E6DA6" w:rsidRPr="002E6DA6" w:rsidRDefault="002E6DA6" w:rsidP="002E6DA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2980C9A" w14:textId="77777777" w:rsidR="002E6DA6" w:rsidRPr="002E6DA6" w:rsidRDefault="002E6DA6" w:rsidP="002E6DA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E283BED" w14:textId="77777777" w:rsidR="002E6DA6" w:rsidRPr="002E6DA6" w:rsidRDefault="002E6DA6" w:rsidP="002E6DA6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2021</w:t>
            </w:r>
          </w:p>
        </w:tc>
      </w:tr>
      <w:tr w:rsidR="00D02A38" w:rsidRPr="002E6DA6" w14:paraId="3AC2055D" w14:textId="77777777" w:rsidTr="00C1090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5AEA" w14:textId="77777777" w:rsidR="00D02A38" w:rsidRPr="002E6DA6" w:rsidRDefault="00D02A38" w:rsidP="00D02A3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BF03" w14:textId="77777777" w:rsidR="00D02A38" w:rsidRPr="002E6DA6" w:rsidRDefault="00D02A38" w:rsidP="00D02A3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Општи приходи и примања буџета - извор 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C79C" w14:textId="0606D173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1,078,114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6657" w14:textId="175FBA92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1,069,613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FA10" w14:textId="68A15F67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1,329,444</w:t>
            </w:r>
          </w:p>
        </w:tc>
      </w:tr>
      <w:tr w:rsidR="00D02A38" w:rsidRPr="002E6DA6" w14:paraId="7D965838" w14:textId="77777777" w:rsidTr="00C1090D">
        <w:trPr>
          <w:trHeight w:val="4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9A8D" w14:textId="77777777" w:rsidR="00D02A38" w:rsidRPr="002E6DA6" w:rsidRDefault="00D02A38" w:rsidP="00D02A3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DDEE" w14:textId="77777777" w:rsidR="00D02A38" w:rsidRPr="002E6DA6" w:rsidRDefault="00D02A38" w:rsidP="00D02A3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Трансфери између корисника на истом нивоу - извор 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AA9B" w14:textId="555F8B3D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F086" w14:textId="7CDCD51C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13F4" w14:textId="77CA2551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D02A38" w:rsidRPr="002E6DA6" w14:paraId="2FE77B29" w14:textId="77777777" w:rsidTr="00C1090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61B8" w14:textId="77777777" w:rsidR="00D02A38" w:rsidRPr="002E6DA6" w:rsidRDefault="00D02A38" w:rsidP="00D02A3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8F9B" w14:textId="77777777" w:rsidR="00D02A38" w:rsidRPr="002E6DA6" w:rsidRDefault="00D02A38" w:rsidP="00D02A3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Социјални доприноси - извор 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1D40" w14:textId="12B1EB22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0853" w14:textId="75AD4DE1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3D75" w14:textId="30F964DC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D02A38" w:rsidRPr="002E6DA6" w14:paraId="25DD027A" w14:textId="77777777" w:rsidTr="00C1090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9C93" w14:textId="77777777" w:rsidR="00D02A38" w:rsidRPr="002E6DA6" w:rsidRDefault="00D02A38" w:rsidP="00D02A3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497" w14:textId="77777777" w:rsidR="00D02A38" w:rsidRPr="002E6DA6" w:rsidRDefault="00D02A38" w:rsidP="00D02A3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Сопствени приходи буџетских корисника - извор 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0885" w14:textId="7225CD4D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5,959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C1D7" w14:textId="0EBDB259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3,529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21AF" w14:textId="3E2C7F8D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5,653</w:t>
            </w:r>
          </w:p>
        </w:tc>
      </w:tr>
      <w:tr w:rsidR="00D02A38" w:rsidRPr="002E6DA6" w14:paraId="6A4AF9A6" w14:textId="77777777" w:rsidTr="00C1090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DC3C" w14:textId="77777777" w:rsidR="00D02A38" w:rsidRPr="002E6DA6" w:rsidRDefault="00D02A38" w:rsidP="00D02A3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C26F" w14:textId="77777777" w:rsidR="00D02A38" w:rsidRPr="002E6DA6" w:rsidRDefault="00D02A38" w:rsidP="00D02A3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Донације од иностраних земаља - извор 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17F4" w14:textId="6F926401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E0C1" w14:textId="2B520A02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2248" w14:textId="6CD7DA2A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D02A38" w:rsidRPr="002E6DA6" w14:paraId="424C7D31" w14:textId="77777777" w:rsidTr="00C1090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38CF" w14:textId="77777777" w:rsidR="00D02A38" w:rsidRPr="002E6DA6" w:rsidRDefault="00D02A38" w:rsidP="00D02A3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F6F" w14:textId="77777777" w:rsidR="00D02A38" w:rsidRPr="002E6DA6" w:rsidRDefault="00D02A38" w:rsidP="00D02A3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Донације од међународних организација - извор 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3DD3" w14:textId="44A9554F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797B" w14:textId="73925C73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3581" w14:textId="61B1FAC2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</w:tr>
      <w:tr w:rsidR="00D02A38" w:rsidRPr="002E6DA6" w14:paraId="43274CA0" w14:textId="77777777" w:rsidTr="00C1090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86CA" w14:textId="77777777" w:rsidR="00D02A38" w:rsidRPr="002E6DA6" w:rsidRDefault="00D02A38" w:rsidP="00D02A3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9986" w14:textId="77777777" w:rsidR="00D02A38" w:rsidRPr="002E6DA6" w:rsidRDefault="00D02A38" w:rsidP="00D02A3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Транфери од других нивоа власти - извор 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6E9E" w14:textId="56EC6A15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42,621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5B12" w14:textId="313EF808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61,348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99CD" w14:textId="33ABAF89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69,878</w:t>
            </w:r>
          </w:p>
        </w:tc>
      </w:tr>
      <w:tr w:rsidR="00D02A38" w:rsidRPr="002E6DA6" w14:paraId="2584ABFB" w14:textId="77777777" w:rsidTr="00C1090D">
        <w:trPr>
          <w:trHeight w:val="4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7954" w14:textId="77777777" w:rsidR="00D02A38" w:rsidRPr="002E6DA6" w:rsidRDefault="00D02A38" w:rsidP="00D02A3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783C" w14:textId="77777777" w:rsidR="00D02A38" w:rsidRPr="002E6DA6" w:rsidRDefault="00D02A38" w:rsidP="00D02A3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Добровољни трансфери од физичких и правни лица - извор 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8524" w14:textId="4BE0CAE8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8CC6" w14:textId="4BD71268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417A" w14:textId="706A6B4D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</w:tc>
      </w:tr>
      <w:tr w:rsidR="00D02A38" w:rsidRPr="002E6DA6" w14:paraId="0A3D75AD" w14:textId="77777777" w:rsidTr="00C1090D">
        <w:trPr>
          <w:trHeight w:val="4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7AAC" w14:textId="77777777" w:rsidR="00D02A38" w:rsidRPr="002E6DA6" w:rsidRDefault="00D02A38" w:rsidP="00D02A3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050D" w14:textId="77777777" w:rsidR="00D02A38" w:rsidRPr="002E6DA6" w:rsidRDefault="00D02A38" w:rsidP="00D02A3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Примања од продаје нефинансијске имовине - извор 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CB91" w14:textId="3DB0FB94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6,017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5FA7" w14:textId="09A4390B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2,929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6BBF" w14:textId="67156F30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3,634</w:t>
            </w:r>
          </w:p>
        </w:tc>
      </w:tr>
      <w:tr w:rsidR="00D02A38" w:rsidRPr="002E6DA6" w14:paraId="0B1B22D6" w14:textId="77777777" w:rsidTr="00C1090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27EA" w14:textId="77777777" w:rsidR="00D02A38" w:rsidRPr="002E6DA6" w:rsidRDefault="00D02A38" w:rsidP="00D02A3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371" w14:textId="77777777" w:rsidR="00D02A38" w:rsidRPr="002E6DA6" w:rsidRDefault="00D02A38" w:rsidP="00D02A3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Примања од домаћих задуживања - извор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6491" w14:textId="0249731F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0BCE" w14:textId="53104A40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C4DD" w14:textId="3ED063D8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D02A38" w:rsidRPr="002E6DA6" w14:paraId="23E7445F" w14:textId="77777777" w:rsidTr="00C1090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2956" w14:textId="77777777" w:rsidR="00D02A38" w:rsidRPr="002E6DA6" w:rsidRDefault="00D02A38" w:rsidP="00D02A3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 xml:space="preserve">11 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878F" w14:textId="77777777" w:rsidR="00D02A38" w:rsidRPr="002E6DA6" w:rsidRDefault="00D02A38" w:rsidP="00D02A3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Примања од иностраних задуживања - извор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3F16" w14:textId="3551C07D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E310" w14:textId="1C91F5F4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E63C" w14:textId="4769C2FE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D02A38" w:rsidRPr="002E6DA6" w14:paraId="6CFE87CA" w14:textId="77777777" w:rsidTr="00C1090D">
        <w:trPr>
          <w:trHeight w:val="4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A94E" w14:textId="77777777" w:rsidR="00D02A38" w:rsidRPr="002E6DA6" w:rsidRDefault="00D02A38" w:rsidP="00D02A3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lastRenderedPageBreak/>
              <w:t>12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0967" w14:textId="77777777" w:rsidR="00D02A38" w:rsidRPr="002E6DA6" w:rsidRDefault="00D02A38" w:rsidP="00D02A3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Примања од отплате датих кредита и продаје финансијске имовине - извор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75D6" w14:textId="708992F4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35CF" w14:textId="304E19CF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2057" w14:textId="37D6ACB7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D02A38" w:rsidRPr="002E6DA6" w14:paraId="23B4578B" w14:textId="77777777" w:rsidTr="00C1090D">
        <w:trPr>
          <w:trHeight w:val="4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3695" w14:textId="77777777" w:rsidR="00D02A38" w:rsidRPr="002E6DA6" w:rsidRDefault="00D02A38" w:rsidP="00D02A3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90B" w14:textId="77777777" w:rsidR="00D02A38" w:rsidRPr="002E6DA6" w:rsidRDefault="00D02A38" w:rsidP="00D02A3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Нераспоређени вишак прихода и примања ранијих година - извор 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08AA" w14:textId="18631B19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280A" w14:textId="5833EC32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F002" w14:textId="227E0526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11,099</w:t>
            </w:r>
          </w:p>
        </w:tc>
      </w:tr>
      <w:tr w:rsidR="00D02A38" w:rsidRPr="002E6DA6" w14:paraId="74280E69" w14:textId="77777777" w:rsidTr="00C1090D">
        <w:trPr>
          <w:trHeight w:val="4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28AA" w14:textId="77777777" w:rsidR="00D02A38" w:rsidRPr="002E6DA6" w:rsidRDefault="00D02A38" w:rsidP="00D02A3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F24E" w14:textId="77777777" w:rsidR="00D02A38" w:rsidRPr="002E6DA6" w:rsidRDefault="00D02A38" w:rsidP="00D02A3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Неутрошена средства од приватизације ранијих година - извор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4712" w14:textId="0541DB83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41DF" w14:textId="6906785E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FB07" w14:textId="3CE1AFE1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D02A38" w:rsidRPr="002E6DA6" w14:paraId="1920A7B2" w14:textId="77777777" w:rsidTr="00C1090D">
        <w:trPr>
          <w:trHeight w:val="4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CE4D" w14:textId="77777777" w:rsidR="00D02A38" w:rsidRPr="002E6DA6" w:rsidRDefault="00D02A38" w:rsidP="00D02A3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390F" w14:textId="77777777" w:rsidR="00D02A38" w:rsidRPr="002E6DA6" w:rsidRDefault="00D02A38" w:rsidP="00D02A3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Неутрошена средства донација, помоћи и трансфера из ранијих година - извор 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F386" w14:textId="5E61114F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5E48" w14:textId="149A33A8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BAB5" w14:textId="27ED22A2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D02A38" w:rsidRPr="002E6DA6" w14:paraId="139629E7" w14:textId="77777777" w:rsidTr="00C1090D">
        <w:trPr>
          <w:trHeight w:val="4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078C" w14:textId="77777777" w:rsidR="00D02A38" w:rsidRPr="002E6DA6" w:rsidRDefault="00D02A38" w:rsidP="00D02A3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3BF5" w14:textId="77777777" w:rsidR="00D02A38" w:rsidRPr="002E6DA6" w:rsidRDefault="00D02A38" w:rsidP="00D02A3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Родитељски динар за ваннаставне активности - извор 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0564" w14:textId="4323B02E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8991" w14:textId="404BDF53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2,860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8161" w14:textId="14A6FB5D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1,152</w:t>
            </w:r>
          </w:p>
        </w:tc>
      </w:tr>
      <w:tr w:rsidR="00D02A38" w:rsidRPr="002E6DA6" w14:paraId="526658EA" w14:textId="77777777" w:rsidTr="00C1090D">
        <w:trPr>
          <w:trHeight w:val="4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3739" w14:textId="77777777" w:rsidR="00D02A38" w:rsidRPr="002E6DA6" w:rsidRDefault="00D02A38" w:rsidP="00D02A3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 xml:space="preserve">17 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30F1" w14:textId="77777777" w:rsidR="00D02A38" w:rsidRPr="002E6DA6" w:rsidRDefault="00D02A38" w:rsidP="00D02A3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Неутрошена средства трансфера од других нивоа власти - извор 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5FFA" w14:textId="2A74709E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BCCE" w14:textId="3E55FE48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1383" w14:textId="65F162B4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D02A38" w:rsidRPr="002E6DA6" w14:paraId="25B291C9" w14:textId="77777777" w:rsidTr="00C1090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D80F" w14:textId="77777777" w:rsidR="00D02A38" w:rsidRPr="002E6DA6" w:rsidRDefault="00D02A38" w:rsidP="00D02A3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56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8322" w14:textId="77777777" w:rsidR="00D02A38" w:rsidRPr="002E6DA6" w:rsidRDefault="00D02A38" w:rsidP="00D02A38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Финансијска помоћ ЕУ - извор 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4E00" w14:textId="40C7B635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14A5" w14:textId="208D0827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B961" w14:textId="56FF146C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D02A38" w:rsidRPr="002E6DA6" w14:paraId="0569153B" w14:textId="77777777" w:rsidTr="00C1090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93CD" w14:textId="77777777" w:rsidR="00D02A38" w:rsidRPr="002E6DA6" w:rsidRDefault="00D02A38" w:rsidP="00D02A3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F9C2" w14:textId="77777777" w:rsidR="00D02A38" w:rsidRPr="002E6DA6" w:rsidRDefault="00D02A38" w:rsidP="00D02A38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2E6DA6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Укупно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82F5" w14:textId="52D102FC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1,136,098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D809" w14:textId="51E88811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1,143,793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7B62" w14:textId="2FA42005" w:rsidR="00D02A38" w:rsidRPr="002E6DA6" w:rsidRDefault="00D02A38" w:rsidP="00D02A38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1,421,160</w:t>
            </w:r>
          </w:p>
        </w:tc>
      </w:tr>
    </w:tbl>
    <w:p w14:paraId="675EE032" w14:textId="77777777" w:rsidR="004735FA" w:rsidRDefault="004735FA" w:rsidP="00E53447">
      <w:pPr>
        <w:spacing w:after="120"/>
        <w:jc w:val="both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</w:p>
    <w:p w14:paraId="3CBD40DC" w14:textId="57B8C14C" w:rsidR="00E53447" w:rsidRDefault="00342CE3" w:rsidP="00E53447">
      <w:pPr>
        <w:spacing w:after="120"/>
        <w:jc w:val="both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  <w:r w:rsidRPr="008B5ABD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mc:AlternateContent>
          <mc:Choice Requires="wps">
            <w:drawing>
              <wp:anchor distT="91440" distB="91440" distL="114300" distR="114300" simplePos="0" relativeHeight="251672576" behindDoc="0" locked="0" layoutInCell="1" allowOverlap="1" wp14:anchorId="2995B326" wp14:editId="6C1E346C">
                <wp:simplePos x="0" y="0"/>
                <wp:positionH relativeFrom="margin">
                  <wp:align>left</wp:align>
                </wp:positionH>
                <wp:positionV relativeFrom="paragraph">
                  <wp:posOffset>408305</wp:posOffset>
                </wp:positionV>
                <wp:extent cx="5943600" cy="1638300"/>
                <wp:effectExtent l="0" t="0" r="19050" b="1905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38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43F7E" w14:textId="40429BB9" w:rsidR="00342CE3" w:rsidRPr="00495694" w:rsidRDefault="00342CE3" w:rsidP="00342CE3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Индикатори за потребе израде анализе стања и праћења достизања циљева одрживог развоја – 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извори финансирања</w:t>
                            </w: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5DA4B577" w14:textId="33B23AA6" w:rsidR="00342CE3" w:rsidRPr="00495694" w:rsidRDefault="00342CE3" w:rsidP="00342CE3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Релативно учешће 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извора 01 – општи приходи и примања буџета у укупним реализ</w:t>
                            </w:r>
                            <w:r w:rsidR="007D29DC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ваним изворима буџета </w:t>
                            </w:r>
                            <w:r w:rsidR="00A2111A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општине</w:t>
                            </w:r>
                          </w:p>
                          <w:p w14:paraId="21761EAB" w14:textId="4521B523" w:rsidR="00342CE3" w:rsidRPr="00495694" w:rsidRDefault="00342CE3" w:rsidP="00342CE3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Релативно учешће 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извора 07 – трансфери од других нивоа власти у укупним реализ</w:t>
                            </w:r>
                            <w:r w:rsidR="007D29DC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ваним изворима буџета </w:t>
                            </w:r>
                            <w:r w:rsidR="00A2111A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општине</w:t>
                            </w:r>
                          </w:p>
                          <w:p w14:paraId="07E77E72" w14:textId="77777777" w:rsidR="00342CE3" w:rsidRPr="00495694" w:rsidRDefault="00342CE3" w:rsidP="00342CE3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EA8646" w14:textId="77777777" w:rsidR="00342CE3" w:rsidRPr="00495694" w:rsidRDefault="00342CE3" w:rsidP="00342CE3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E2E015E" w14:textId="77777777" w:rsidR="00342CE3" w:rsidRPr="00495694" w:rsidRDefault="00342CE3" w:rsidP="00342CE3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5B9BD5" w:themeColor="accent1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F78077" w14:textId="77777777" w:rsidR="00342CE3" w:rsidRPr="00495694" w:rsidRDefault="00342CE3" w:rsidP="00342CE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B326" id="_x0000_s1033" type="#_x0000_t202" style="position:absolute;left:0;text-align:left;margin-left:0;margin-top:32.15pt;width:468pt;height:129pt;z-index:251672576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" fillcolor="white [3201]" strokecolor="#2f5496 [2408]" strokeweight="1pt">
                <v:textbox>
                  <w:txbxContent>
                    <w:p w14:paraId="64243F7E" w14:textId="40429BB9" w:rsidR="00342CE3" w:rsidRPr="00495694" w:rsidRDefault="00342CE3" w:rsidP="00342CE3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Индикатори за потребе израде анализе стања и праћења достизања циљева одрживог развоја – </w:t>
                      </w:r>
                      <w:r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извори финансирања</w:t>
                      </w: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5DA4B577" w14:textId="33B23AA6" w:rsidR="00342CE3" w:rsidRPr="00495694" w:rsidRDefault="00342CE3" w:rsidP="00342CE3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Релативно учешће 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извора 01 – општи приходи и примања буџета у укупним реализ</w:t>
                      </w:r>
                      <w:r w:rsidR="007D29DC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ваним изворима буџета </w:t>
                      </w:r>
                      <w:r w:rsidR="00A2111A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општине</w:t>
                      </w:r>
                    </w:p>
                    <w:p w14:paraId="21761EAB" w14:textId="4521B523" w:rsidR="00342CE3" w:rsidRPr="00495694" w:rsidRDefault="00342CE3" w:rsidP="00342CE3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Релативно учешће 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извора 07 – трансфери од других нивоа власти у укупним реализ</w:t>
                      </w:r>
                      <w:r w:rsidR="007D29DC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ваним изворима буџета </w:t>
                      </w:r>
                      <w:r w:rsidR="00A2111A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општине</w:t>
                      </w:r>
                    </w:p>
                    <w:p w14:paraId="07E77E72" w14:textId="77777777" w:rsidR="00342CE3" w:rsidRPr="00495694" w:rsidRDefault="00342CE3" w:rsidP="00342CE3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EA8646" w14:textId="77777777" w:rsidR="00342CE3" w:rsidRPr="00495694" w:rsidRDefault="00342CE3" w:rsidP="00342CE3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E2E015E" w14:textId="77777777" w:rsidR="00342CE3" w:rsidRPr="00495694" w:rsidRDefault="00342CE3" w:rsidP="00342CE3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5B9BD5" w:themeColor="accent1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F78077" w14:textId="77777777" w:rsidR="00342CE3" w:rsidRPr="00495694" w:rsidRDefault="00342CE3" w:rsidP="00342CE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735FA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     </w:t>
      </w:r>
      <w:r w:rsidR="00E53447"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Извор: Одлуке о завршним рачунима буџета </w:t>
      </w:r>
      <w:r w:rsidR="004735FA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општине </w:t>
      </w:r>
      <w:r w:rsidR="00151146">
        <w:rPr>
          <w:rFonts w:ascii="Tahoma" w:hAnsi="Tahoma" w:cs="Tahoma"/>
          <w:bCs/>
          <w:iCs/>
          <w:noProof/>
          <w:sz w:val="18"/>
          <w:szCs w:val="18"/>
          <w:lang w:val="sr-Cyrl-RS"/>
        </w:rPr>
        <w:t>С</w:t>
      </w:r>
      <w:r w:rsidR="00D02A38">
        <w:rPr>
          <w:rFonts w:ascii="Tahoma" w:hAnsi="Tahoma" w:cs="Tahoma"/>
          <w:bCs/>
          <w:iCs/>
          <w:noProof/>
          <w:sz w:val="18"/>
          <w:szCs w:val="18"/>
          <w:lang w:val="sr-Cyrl-RS"/>
        </w:rPr>
        <w:t>медеревска Паланка</w:t>
      </w:r>
      <w:r w:rsidR="00E53447"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2019-2021</w:t>
      </w:r>
      <w:r w:rsidR="00E53447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</w:t>
      </w:r>
    </w:p>
    <w:p w14:paraId="57DC8A56" w14:textId="77777777" w:rsidR="00997A67" w:rsidRDefault="00997A67" w:rsidP="004F59CB">
      <w:pPr>
        <w:pStyle w:val="BodyText"/>
        <w:spacing w:after="160" w:line="259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14:paraId="527DEA38" w14:textId="77777777" w:rsidR="00FA6E79" w:rsidRDefault="00FA6E79" w:rsidP="004F59CB">
      <w:pPr>
        <w:pStyle w:val="BodyText"/>
        <w:spacing w:after="160" w:line="259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14:paraId="28CBB7CA" w14:textId="7B058790" w:rsidR="00FE166D" w:rsidRDefault="00053B17" w:rsidP="00B474C2">
      <w:pPr>
        <w:spacing w:after="160" w:line="259" w:lineRule="auto"/>
        <w:jc w:val="both"/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</w:pPr>
      <w:r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>4</w:t>
      </w:r>
      <w:r w:rsidRPr="005241B1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 xml:space="preserve">. Анализа </w:t>
      </w:r>
      <w:r w:rsidR="004400FB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>односа плана и извршења</w:t>
      </w:r>
      <w:r w:rsidRPr="005241B1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 xml:space="preserve"> буџета </w:t>
      </w:r>
      <w:r w:rsidR="004735FA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 xml:space="preserve">општине </w:t>
      </w:r>
      <w:r w:rsidR="00151146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>С</w:t>
      </w:r>
      <w:r w:rsidR="00D02A38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>медеревска Паланка</w:t>
      </w:r>
      <w:r w:rsidR="00396A40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 xml:space="preserve"> </w:t>
      </w:r>
      <w:r w:rsidR="004400FB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 xml:space="preserve">у временском периоду од </w:t>
      </w:r>
      <w:r w:rsidR="00240D68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>2019 до 2021 године</w:t>
      </w:r>
    </w:p>
    <w:p w14:paraId="4ED34D47" w14:textId="1B48859F" w:rsidR="004400FB" w:rsidRDefault="004400FB" w:rsidP="00B474C2">
      <w:pPr>
        <w:spacing w:after="160" w:line="259" w:lineRule="auto"/>
        <w:jc w:val="both"/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</w:pPr>
    </w:p>
    <w:p w14:paraId="22437A7D" w14:textId="6CA70974" w:rsidR="004400FB" w:rsidRDefault="00D77F46" w:rsidP="00B474C2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</w:pPr>
      <w:r w:rsidRPr="00565D83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Остварени обим прихода и примања буџета </w:t>
      </w:r>
      <w:r w:rsidR="00B7179B" w:rsidRPr="00565D83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општине </w:t>
      </w:r>
      <w:r w:rsidR="00565D83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С</w:t>
      </w:r>
      <w:r w:rsidR="00065B5D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медревска Паланка</w:t>
      </w:r>
      <w:r w:rsidR="00B64B15" w:rsidRPr="00565D83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 </w:t>
      </w:r>
      <w:r w:rsidRPr="00565D83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у односу на планирани ниво у просеку износи </w:t>
      </w:r>
      <w:r w:rsidR="00DF6D76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92,31</w:t>
      </w:r>
      <w:r w:rsidRPr="00565D83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%, док је извршење расхода и издатака буџета у односу на планске величине </w:t>
      </w:r>
      <w:r w:rsidR="00DF6D76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91,25</w:t>
      </w:r>
      <w:r w:rsidR="00FC568A" w:rsidRPr="00565D83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%.</w:t>
      </w:r>
      <w:r w:rsidR="00FC568A" w:rsidRPr="00565D8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5B417C" w:rsidRPr="00565D8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4400FB" w:rsidRPr="00565D8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За потребе вршења анализе појединих </w:t>
      </w:r>
      <w:r w:rsidR="004400FB" w:rsidRPr="008B363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приоритета – издвајања средстава за одређене програмске категорије и намене</w:t>
      </w:r>
      <w:r w:rsidR="004400FB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у буџету </w:t>
      </w:r>
      <w:r w:rsidR="004262FB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општине </w:t>
      </w:r>
      <w:r w:rsidR="00DF6D76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Смедеревска Паланка</w:t>
      </w:r>
      <w:r w:rsidR="004400FB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, урађен је </w:t>
      </w:r>
      <w:r w:rsidR="004400FB" w:rsidRPr="00FC568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преглед начина планирања укупног обима буџета према усвојеним одлукама о буџету, конкретно у датом случају према задњем ребалансу буџета и коначне реализације, односно извршења буџета, закључно са 31. децембром за сваку буџетску годину. Таква анализа укључ</w:t>
      </w:r>
      <w:r w:rsidR="004400FB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ује процену реалног предвиђања/планирања прихода и примања буџета локалне власти – кроз инкорпорирање осцилација у току године до чина ребаланса, са једне стране, као и оцену начина планирања појединих расхода и издатака у односу на расположива средства буџета, са друге стране. </w:t>
      </w:r>
    </w:p>
    <w:p w14:paraId="23DB0A2C" w14:textId="5D165FC1" w:rsidR="002C19FB" w:rsidRDefault="002C19FB" w:rsidP="00B474C2">
      <w:pPr>
        <w:spacing w:after="160" w:line="259" w:lineRule="auto"/>
        <w:jc w:val="both"/>
        <w:rPr>
          <w:rFonts w:ascii="Tahoma" w:hAnsi="Tahoma" w:cs="Tahoma"/>
          <w:bCs/>
          <w:iCs/>
          <w:sz w:val="22"/>
          <w:szCs w:val="22"/>
          <w:lang w:val="sr-Cyrl-BA"/>
        </w:rPr>
      </w:pPr>
      <w:r w:rsidRPr="00236987">
        <w:rPr>
          <w:rFonts w:ascii="Tahoma" w:hAnsi="Tahoma" w:cs="Tahoma"/>
          <w:b/>
          <w:iCs/>
          <w:sz w:val="22"/>
          <w:szCs w:val="22"/>
          <w:lang w:val="sr-Cyrl-BA"/>
        </w:rPr>
        <w:lastRenderedPageBreak/>
        <w:t xml:space="preserve">Табела бр. </w:t>
      </w:r>
      <w:r>
        <w:rPr>
          <w:rFonts w:ascii="Tahoma" w:hAnsi="Tahoma" w:cs="Tahoma"/>
          <w:b/>
          <w:iCs/>
          <w:sz w:val="22"/>
          <w:szCs w:val="22"/>
          <w:lang w:val="sr-Cyrl-BA"/>
        </w:rPr>
        <w:t>7</w:t>
      </w:r>
      <w:r w:rsidRPr="00236987">
        <w:rPr>
          <w:rFonts w:ascii="Tahoma" w:hAnsi="Tahoma" w:cs="Tahoma"/>
          <w:b/>
          <w:iCs/>
          <w:sz w:val="22"/>
          <w:szCs w:val="22"/>
          <w:lang w:val="sr-Cyrl-BA"/>
        </w:rPr>
        <w:t>.</w:t>
      </w:r>
      <w:r w:rsidRPr="00236987">
        <w:rPr>
          <w:rFonts w:ascii="Tahoma" w:hAnsi="Tahoma" w:cs="Tahoma"/>
          <w:bCs/>
          <w:iCs/>
          <w:sz w:val="22"/>
          <w:szCs w:val="22"/>
          <w:lang w:val="sr-Cyrl-BA"/>
        </w:rPr>
        <w:t xml:space="preserve"> </w:t>
      </w:r>
      <w:r w:rsidR="00E53447">
        <w:rPr>
          <w:rFonts w:ascii="Tahoma" w:hAnsi="Tahoma" w:cs="Tahoma"/>
          <w:bCs/>
          <w:iCs/>
          <w:sz w:val="22"/>
          <w:szCs w:val="22"/>
          <w:lang w:val="sr-Cyrl-BA"/>
        </w:rPr>
        <w:t xml:space="preserve">Планирани обим буџета и извршење расходне стране буџета </w:t>
      </w:r>
      <w:r w:rsidR="00B7179B">
        <w:rPr>
          <w:rFonts w:ascii="Tahoma" w:hAnsi="Tahoma" w:cs="Tahoma"/>
          <w:bCs/>
          <w:iCs/>
          <w:sz w:val="22"/>
          <w:szCs w:val="22"/>
          <w:lang w:val="sr-Cyrl-BA"/>
        </w:rPr>
        <w:t>општин</w:t>
      </w:r>
      <w:r w:rsidR="004262FB">
        <w:rPr>
          <w:rFonts w:ascii="Tahoma" w:hAnsi="Tahoma" w:cs="Tahoma"/>
          <w:bCs/>
          <w:iCs/>
          <w:sz w:val="22"/>
          <w:szCs w:val="22"/>
          <w:lang w:val="sr-Cyrl-BA"/>
        </w:rPr>
        <w:t>е</w:t>
      </w:r>
      <w:r w:rsidR="00B7179B">
        <w:rPr>
          <w:rFonts w:ascii="Tahoma" w:hAnsi="Tahoma" w:cs="Tahoma"/>
          <w:bCs/>
          <w:iCs/>
          <w:sz w:val="22"/>
          <w:szCs w:val="22"/>
          <w:lang w:val="sr-Cyrl-BA"/>
        </w:rPr>
        <w:t xml:space="preserve"> </w:t>
      </w:r>
      <w:r w:rsidR="00B22053">
        <w:rPr>
          <w:rFonts w:ascii="Tahoma" w:hAnsi="Tahoma" w:cs="Tahoma"/>
          <w:bCs/>
          <w:iCs/>
          <w:sz w:val="22"/>
          <w:szCs w:val="22"/>
          <w:lang w:val="sr-Cyrl-BA"/>
        </w:rPr>
        <w:t>С</w:t>
      </w:r>
      <w:r w:rsidR="000C47C2">
        <w:rPr>
          <w:rFonts w:ascii="Tahoma" w:hAnsi="Tahoma" w:cs="Tahoma"/>
          <w:bCs/>
          <w:iCs/>
          <w:sz w:val="22"/>
          <w:szCs w:val="22"/>
          <w:lang w:val="sr-Cyrl-BA"/>
        </w:rPr>
        <w:t xml:space="preserve">медеревска Паланка </w:t>
      </w:r>
      <w:r>
        <w:rPr>
          <w:rFonts w:ascii="Tahoma" w:hAnsi="Tahoma" w:cs="Tahoma"/>
          <w:bCs/>
          <w:iCs/>
          <w:sz w:val="22"/>
          <w:szCs w:val="22"/>
          <w:lang w:val="sr-Cyrl-BA"/>
        </w:rPr>
        <w:t xml:space="preserve">у временском периоду 2019-2021 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2000"/>
        <w:gridCol w:w="2560"/>
        <w:gridCol w:w="2200"/>
        <w:gridCol w:w="2480"/>
      </w:tblGrid>
      <w:tr w:rsidR="00D4307B" w:rsidRPr="00D4307B" w14:paraId="6344E78E" w14:textId="77777777" w:rsidTr="00D4307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F8ECA" w14:textId="77777777" w:rsidR="00D4307B" w:rsidRPr="00D4307B" w:rsidRDefault="00D4307B" w:rsidP="00D4307B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lang w:val="sr-Cyrl-R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59B4C" w14:textId="77777777" w:rsidR="00D4307B" w:rsidRPr="00D4307B" w:rsidRDefault="00D4307B" w:rsidP="00D4307B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lang w:val="sr-Cyrl-R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38A20" w14:textId="77777777" w:rsidR="00D4307B" w:rsidRPr="00D4307B" w:rsidRDefault="00D4307B" w:rsidP="00D4307B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lang w:val="sr-Cyrl-R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CD76" w14:textId="77777777" w:rsidR="00D4307B" w:rsidRPr="00D4307B" w:rsidRDefault="00D4307B" w:rsidP="00D4307B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D4307B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 000 динара</w:t>
            </w:r>
          </w:p>
        </w:tc>
      </w:tr>
      <w:tr w:rsidR="00D4307B" w:rsidRPr="00D4307B" w14:paraId="5C1C3F39" w14:textId="77777777" w:rsidTr="0033428F">
        <w:trPr>
          <w:trHeight w:val="1393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5741B8F" w14:textId="77777777" w:rsidR="00D4307B" w:rsidRPr="00D4307B" w:rsidRDefault="00D4307B" w:rsidP="00D4307B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D4307B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Године буџета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2522926" w14:textId="55DBBDAF" w:rsidR="00D4307B" w:rsidRPr="00D4307B" w:rsidRDefault="00D4307B" w:rsidP="00D4307B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D4307B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 xml:space="preserve">Планирани обим расхода и издатака према Одлуци о буџету </w:t>
            </w:r>
            <w:r w:rsidR="00CF1DF9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општине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501555F" w14:textId="77777777" w:rsidR="00D4307B" w:rsidRPr="00D4307B" w:rsidRDefault="00D4307B" w:rsidP="00D4307B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D4307B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Извршење буџета, расходна страна у класама 4, 5 и 6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F34EAAF" w14:textId="77777777" w:rsidR="00D4307B" w:rsidRPr="00D4307B" w:rsidRDefault="00D4307B" w:rsidP="00D4307B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D4307B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Проценат реализације планираног обима буџета - расходна страна</w:t>
            </w:r>
          </w:p>
        </w:tc>
      </w:tr>
      <w:tr w:rsidR="000C47C2" w:rsidRPr="00D4307B" w14:paraId="10A84D4E" w14:textId="77777777" w:rsidTr="00D4307B">
        <w:trPr>
          <w:trHeight w:val="2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D17" w14:textId="77777777" w:rsidR="000C47C2" w:rsidRPr="00D4307B" w:rsidRDefault="000C47C2" w:rsidP="000C47C2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D4307B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2019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4DF6" w14:textId="2051C748" w:rsidR="000C47C2" w:rsidRPr="000C47C2" w:rsidRDefault="000C47C2" w:rsidP="000C47C2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0C47C2">
              <w:rPr>
                <w:rFonts w:ascii="Tahoma" w:hAnsi="Tahoma" w:cs="Tahoma"/>
                <w:sz w:val="16"/>
                <w:szCs w:val="16"/>
              </w:rPr>
              <w:t>1,346,336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B1B4" w14:textId="2A66E8FD" w:rsidR="000C47C2" w:rsidRPr="000C47C2" w:rsidRDefault="000C47C2" w:rsidP="000C47C2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0C47C2">
              <w:rPr>
                <w:rFonts w:ascii="Tahoma" w:hAnsi="Tahoma" w:cs="Tahoma"/>
                <w:sz w:val="16"/>
                <w:szCs w:val="16"/>
              </w:rPr>
              <w:t>1,136,098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3056" w14:textId="5E64BBAB" w:rsidR="000C47C2" w:rsidRPr="000C47C2" w:rsidRDefault="000C47C2" w:rsidP="000C47C2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0C47C2">
              <w:rPr>
                <w:rFonts w:ascii="Tahoma" w:hAnsi="Tahoma" w:cs="Tahoma"/>
                <w:sz w:val="16"/>
                <w:szCs w:val="16"/>
              </w:rPr>
              <w:t>84.38%</w:t>
            </w:r>
          </w:p>
        </w:tc>
      </w:tr>
      <w:tr w:rsidR="000C47C2" w:rsidRPr="00D4307B" w14:paraId="5F337F37" w14:textId="77777777" w:rsidTr="00D4307B">
        <w:trPr>
          <w:trHeight w:val="27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58B1" w14:textId="77777777" w:rsidR="000C47C2" w:rsidRPr="00D4307B" w:rsidRDefault="000C47C2" w:rsidP="000C47C2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D4307B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2020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5059" w14:textId="2DDA3BF4" w:rsidR="000C47C2" w:rsidRPr="000C47C2" w:rsidRDefault="000C47C2" w:rsidP="000C47C2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0C47C2">
              <w:rPr>
                <w:rFonts w:ascii="Tahoma" w:hAnsi="Tahoma" w:cs="Tahoma"/>
                <w:sz w:val="16"/>
                <w:szCs w:val="16"/>
              </w:rPr>
              <w:t>1,268,453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3C33" w14:textId="751D90B2" w:rsidR="000C47C2" w:rsidRPr="000C47C2" w:rsidRDefault="000C47C2" w:rsidP="000C47C2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0C47C2">
              <w:rPr>
                <w:rFonts w:ascii="Tahoma" w:hAnsi="Tahoma" w:cs="Tahoma"/>
                <w:sz w:val="16"/>
                <w:szCs w:val="16"/>
              </w:rPr>
              <w:t>1,143,793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5083" w14:textId="1457DA61" w:rsidR="000C47C2" w:rsidRPr="000C47C2" w:rsidRDefault="000C47C2" w:rsidP="000C47C2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0C47C2">
              <w:rPr>
                <w:rFonts w:ascii="Tahoma" w:hAnsi="Tahoma" w:cs="Tahoma"/>
                <w:sz w:val="16"/>
                <w:szCs w:val="16"/>
              </w:rPr>
              <w:t>90.17%</w:t>
            </w:r>
          </w:p>
        </w:tc>
      </w:tr>
      <w:tr w:rsidR="000C47C2" w:rsidRPr="00D4307B" w14:paraId="74203816" w14:textId="77777777" w:rsidTr="00D4307B">
        <w:trPr>
          <w:trHeight w:val="27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41B6" w14:textId="77777777" w:rsidR="000C47C2" w:rsidRPr="00D4307B" w:rsidRDefault="000C47C2" w:rsidP="000C47C2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D4307B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2021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D011" w14:textId="7CCF7265" w:rsidR="000C47C2" w:rsidRPr="000C47C2" w:rsidRDefault="000C47C2" w:rsidP="000C47C2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0C47C2">
              <w:rPr>
                <w:rFonts w:ascii="Tahoma" w:hAnsi="Tahoma" w:cs="Tahoma"/>
                <w:sz w:val="16"/>
                <w:szCs w:val="16"/>
              </w:rPr>
              <w:t>1,432,645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D3B2" w14:textId="5536223F" w:rsidR="000C47C2" w:rsidRPr="000C47C2" w:rsidRDefault="000C47C2" w:rsidP="000C47C2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0C47C2">
              <w:rPr>
                <w:rFonts w:ascii="Tahoma" w:hAnsi="Tahoma" w:cs="Tahoma"/>
                <w:sz w:val="16"/>
                <w:szCs w:val="16"/>
              </w:rPr>
              <w:t>1,421,160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445B" w14:textId="7E0EE2C8" w:rsidR="000C47C2" w:rsidRPr="000C47C2" w:rsidRDefault="000C47C2" w:rsidP="000C47C2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0C47C2">
              <w:rPr>
                <w:rFonts w:ascii="Tahoma" w:hAnsi="Tahoma" w:cs="Tahoma"/>
                <w:sz w:val="16"/>
                <w:szCs w:val="16"/>
              </w:rPr>
              <w:t>99.20%</w:t>
            </w:r>
          </w:p>
        </w:tc>
      </w:tr>
    </w:tbl>
    <w:p w14:paraId="739F50CE" w14:textId="77777777" w:rsidR="002536CC" w:rsidRDefault="002536CC" w:rsidP="00A9590F">
      <w:pPr>
        <w:spacing w:after="160" w:line="259" w:lineRule="auto"/>
        <w:jc w:val="both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</w:p>
    <w:p w14:paraId="1760696C" w14:textId="09A67FB5" w:rsidR="002C19FB" w:rsidRPr="00FC568A" w:rsidRDefault="002536CC" w:rsidP="00A9590F">
      <w:pPr>
        <w:spacing w:after="160" w:line="259" w:lineRule="auto"/>
        <w:jc w:val="both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  <w:r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Извор: </w:t>
      </w:r>
      <w:r w:rsidR="005C471E"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Одлуке о завршним рачунима буџета </w:t>
      </w:r>
      <w:r w:rsidR="00B7179B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општине </w:t>
      </w:r>
      <w:r w:rsidR="00004E85">
        <w:rPr>
          <w:rFonts w:ascii="Tahoma" w:hAnsi="Tahoma" w:cs="Tahoma"/>
          <w:bCs/>
          <w:iCs/>
          <w:noProof/>
          <w:sz w:val="18"/>
          <w:szCs w:val="18"/>
          <w:lang w:val="sr-Cyrl-RS"/>
        </w:rPr>
        <w:t>С</w:t>
      </w:r>
      <w:r w:rsidR="000C47C2">
        <w:rPr>
          <w:rFonts w:ascii="Tahoma" w:hAnsi="Tahoma" w:cs="Tahoma"/>
          <w:bCs/>
          <w:iCs/>
          <w:noProof/>
          <w:sz w:val="18"/>
          <w:szCs w:val="18"/>
          <w:lang w:val="sr-Cyrl-RS"/>
        </w:rPr>
        <w:t>медревска Паланка</w:t>
      </w:r>
      <w:r w:rsidR="005C471E"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2019-2021</w:t>
      </w:r>
      <w:r w:rsidR="005C471E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</w:t>
      </w:r>
    </w:p>
    <w:p w14:paraId="6986269D" w14:textId="178FECEA" w:rsidR="002536CC" w:rsidRPr="00F82A7F" w:rsidRDefault="002536CC" w:rsidP="00A9590F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noProof/>
          <w:color w:val="auto"/>
          <w:lang w:val="sr-Cyrl-RS"/>
        </w:rPr>
      </w:pPr>
      <w:r w:rsidRPr="00FC568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Реални начин планирања укупних прихода и примања, односно расхода и издатака у локалним буџетима, претпоставља препоручене проценте реализације у висини од 88-9</w:t>
      </w:r>
      <w:r w:rsidR="00FB71EE" w:rsidRPr="00FC568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2</w:t>
      </w:r>
      <w:r w:rsidRPr="00FC568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% и више.</w:t>
      </w:r>
      <w:r w:rsidR="00FC568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Гледајући кроз призму претходно наведених захтева који се постављају пред субјектом који припрема нацрт одлуке о буџету за наредну годину, односно извршног органа при утврђивању предлога одлуке, може се закључити да је </w:t>
      </w:r>
      <w:r w:rsidR="003A434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предметни захтев у случају</w:t>
      </w:r>
      <w:r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4262FB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општин</w:t>
      </w:r>
      <w:r w:rsidR="003A434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е</w:t>
      </w:r>
      <w:r w:rsidR="004262FB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944A65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С</w:t>
      </w:r>
      <w:r w:rsidR="00552121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медеревска Паланка је испуњен</w:t>
      </w:r>
      <w:r w:rsidR="00B1250B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, мада се поставља питање у вези планирања преузетих обавеза у 2021. години</w:t>
      </w:r>
      <w:r w:rsidR="00EA2D5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.</w:t>
      </w:r>
      <w:r w:rsidRPr="00F82A7F">
        <w:rPr>
          <w:rFonts w:ascii="Tahoma" w:eastAsia="Times New Roman" w:hAnsi="Tahoma" w:cs="Tahoma"/>
          <w:noProof/>
          <w:color w:val="auto"/>
          <w:lang w:val="sr-Cyrl-RS"/>
        </w:rPr>
        <w:t xml:space="preserve"> </w:t>
      </w:r>
      <w:r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Са аспекта планирања прихода </w:t>
      </w:r>
      <w:r w:rsidR="004262FB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општине</w:t>
      </w:r>
      <w:r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, према доступним подацима, </w:t>
      </w:r>
      <w:r w:rsidR="004262FB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потребно је побољшати </w:t>
      </w:r>
      <w:r w:rsidR="006F7E29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процес њихове </w:t>
      </w:r>
      <w:r w:rsidR="004262FB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процен</w:t>
      </w:r>
      <w:r w:rsidR="006F7E29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е,</w:t>
      </w:r>
      <w:r w:rsidR="000F5D8B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јер се очекивани приходи и примања </w:t>
      </w:r>
      <w:r w:rsidR="00542EAD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потцењени у 2021. години</w:t>
      </w:r>
      <w:r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. Реално планирање прихода и примања </w:t>
      </w:r>
      <w:r w:rsidR="001E1CA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општине</w:t>
      </w:r>
      <w:r w:rsidR="00AC6B2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се</w:t>
      </w:r>
      <w:r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базира на изворним и уступљеним приходима</w:t>
      </w:r>
      <w:r w:rsidR="00AC6B2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, </w:t>
      </w:r>
      <w:r w:rsidR="00542EAD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као и на</w:t>
      </w:r>
      <w:r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ненаменско</w:t>
      </w:r>
      <w:r w:rsidR="000F5D8B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м</w:t>
      </w:r>
      <w:r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трансфер</w:t>
      </w:r>
      <w:r w:rsidR="000F5D8B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у</w:t>
      </w:r>
      <w:r w:rsidR="00AC6B2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из Републичког буџета</w:t>
      </w:r>
      <w:r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, што годишње износи </w:t>
      </w:r>
      <w:r w:rsidR="00542EAD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292.955</w:t>
      </w:r>
      <w:r w:rsidR="004262FB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хиљада</w:t>
      </w:r>
      <w:r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динара</w:t>
      </w:r>
      <w:r w:rsidR="000F5D8B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.</w:t>
      </w:r>
      <w:r w:rsidR="00AC7511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</w:p>
    <w:p w14:paraId="6D5C91AD" w14:textId="09ACBC4B" w:rsidR="006E3039" w:rsidRDefault="002536CC" w:rsidP="000C2C48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</w:pPr>
      <w:r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Податке о планираним и реализованим вредностима приходне стране буџета </w:t>
      </w:r>
      <w:r w:rsidR="001E1CA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општине</w:t>
      </w:r>
      <w:r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показује следећа табела </w:t>
      </w:r>
      <w:r w:rsidR="00AC6B2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бр. 8. </w:t>
      </w:r>
    </w:p>
    <w:p w14:paraId="1FB8CE80" w14:textId="73CD242C" w:rsidR="002536CC" w:rsidRPr="00F82A7F" w:rsidRDefault="002536CC" w:rsidP="000C2C48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b/>
          <w:noProof/>
          <w:color w:val="auto"/>
          <w:lang w:val="sr-Cyrl-RS"/>
        </w:rPr>
      </w:pPr>
      <w:r w:rsidRPr="00F82A7F"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  <w:t xml:space="preserve">Табела бр. </w:t>
      </w:r>
      <w:r w:rsidR="00240D68"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  <w:t>8</w:t>
      </w:r>
      <w:r w:rsidRPr="00F82A7F"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  <w:t xml:space="preserve">.  </w:t>
      </w:r>
      <w:r w:rsidRPr="00A9590F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 xml:space="preserve">Приказ реализације приходне стране буџета </w:t>
      </w:r>
      <w:r w:rsidR="00B7179B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 xml:space="preserve">општине </w:t>
      </w:r>
      <w:r w:rsidR="00542EAD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>Смедеревска Паланка</w:t>
      </w:r>
      <w:r w:rsidRPr="00A9590F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 xml:space="preserve"> у посматраном периоду</w:t>
      </w:r>
      <w:r w:rsidR="00240D68" w:rsidRPr="00A9590F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 xml:space="preserve"> од 2019. до 2021. године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180"/>
        <w:gridCol w:w="2500"/>
        <w:gridCol w:w="2430"/>
        <w:gridCol w:w="2250"/>
      </w:tblGrid>
      <w:tr w:rsidR="00953D48" w:rsidRPr="00953D48" w14:paraId="405693E7" w14:textId="77777777" w:rsidTr="00953D48">
        <w:trPr>
          <w:trHeight w:val="288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B51D" w14:textId="77777777" w:rsidR="00953D48" w:rsidRPr="00953D48" w:rsidRDefault="00953D48" w:rsidP="00953D48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lang w:val="sr-Cyrl-R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DE78" w14:textId="77777777" w:rsidR="00953D48" w:rsidRPr="00953D48" w:rsidRDefault="00953D48" w:rsidP="00953D48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lang w:val="sr-Cyrl-R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7FA2" w14:textId="77777777" w:rsidR="00953D48" w:rsidRPr="00953D48" w:rsidRDefault="00953D48" w:rsidP="00953D48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lang w:val="sr-Cyrl-R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1BC1" w14:textId="77777777" w:rsidR="00953D48" w:rsidRPr="00953D48" w:rsidRDefault="00953D48" w:rsidP="00953D48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953D4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 000 динара</w:t>
            </w:r>
          </w:p>
        </w:tc>
      </w:tr>
      <w:tr w:rsidR="00953D48" w:rsidRPr="00953D48" w14:paraId="3F276235" w14:textId="77777777" w:rsidTr="0033428F">
        <w:trPr>
          <w:trHeight w:val="144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474E81F" w14:textId="77777777" w:rsidR="00953D48" w:rsidRPr="00953D48" w:rsidRDefault="00953D48" w:rsidP="00953D4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953D4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Године буџета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F9D9FC" w14:textId="77777777" w:rsidR="00953D48" w:rsidRPr="00953D48" w:rsidRDefault="00953D48" w:rsidP="00953D4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953D4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Планирани обим прихода и примања према Одлуци о буџету општине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32C6187" w14:textId="77777777" w:rsidR="00953D48" w:rsidRPr="00953D48" w:rsidRDefault="00953D48" w:rsidP="00953D4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953D4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Остварење прихода и примања у буџетској години према Одлуци о завршном рачуну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8A64EBD" w14:textId="77777777" w:rsidR="00953D48" w:rsidRPr="00953D48" w:rsidRDefault="00953D48" w:rsidP="00953D48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953D48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Проценат реализације планираног обима буџета - приходна страна</w:t>
            </w:r>
          </w:p>
        </w:tc>
      </w:tr>
      <w:tr w:rsidR="00B1250B" w:rsidRPr="00953D48" w14:paraId="279B20D5" w14:textId="77777777" w:rsidTr="00953D48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51E9" w14:textId="1FA92F37" w:rsidR="00B1250B" w:rsidRPr="00953D48" w:rsidRDefault="00B1250B" w:rsidP="00B1250B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953D4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201</w:t>
            </w:r>
            <w:r w:rsidR="00EA2D5A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3C7F" w14:textId="286760B1" w:rsidR="00B1250B" w:rsidRPr="00B1250B" w:rsidRDefault="00B1250B" w:rsidP="00B1250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B1250B">
              <w:rPr>
                <w:rFonts w:ascii="Tahoma" w:hAnsi="Tahoma" w:cs="Tahoma"/>
                <w:sz w:val="16"/>
                <w:szCs w:val="16"/>
              </w:rPr>
              <w:t>1,346,336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C0B5" w14:textId="79DE8B70" w:rsidR="00B1250B" w:rsidRPr="00B1250B" w:rsidRDefault="00B1250B" w:rsidP="00B1250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B1250B">
              <w:rPr>
                <w:rFonts w:ascii="Tahoma" w:hAnsi="Tahoma" w:cs="Tahoma"/>
                <w:sz w:val="16"/>
                <w:szCs w:val="16"/>
              </w:rPr>
              <w:t>1,154,307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C128" w14:textId="130D7BF0" w:rsidR="00B1250B" w:rsidRPr="00B1250B" w:rsidRDefault="00B1250B" w:rsidP="00B1250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B1250B">
              <w:rPr>
                <w:rFonts w:ascii="Tahoma" w:hAnsi="Tahoma" w:cs="Tahoma"/>
                <w:sz w:val="16"/>
                <w:szCs w:val="16"/>
              </w:rPr>
              <w:t>85.74%</w:t>
            </w:r>
          </w:p>
        </w:tc>
      </w:tr>
      <w:tr w:rsidR="00B1250B" w:rsidRPr="00953D48" w14:paraId="47E54F0F" w14:textId="77777777" w:rsidTr="00953D48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4441" w14:textId="59D0A740" w:rsidR="00B1250B" w:rsidRPr="00953D48" w:rsidRDefault="00B1250B" w:rsidP="00B1250B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953D4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20</w:t>
            </w:r>
            <w:r w:rsidR="00EA2D5A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1FEC" w14:textId="66575F31" w:rsidR="00B1250B" w:rsidRPr="00B1250B" w:rsidRDefault="00B1250B" w:rsidP="00B1250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B1250B">
              <w:rPr>
                <w:rFonts w:ascii="Tahoma" w:hAnsi="Tahoma" w:cs="Tahoma"/>
                <w:sz w:val="16"/>
                <w:szCs w:val="16"/>
              </w:rPr>
              <w:t>1,268,453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5DF3" w14:textId="2FAE5008" w:rsidR="00B1250B" w:rsidRPr="00B1250B" w:rsidRDefault="00B1250B" w:rsidP="00B1250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B1250B">
              <w:rPr>
                <w:rFonts w:ascii="Tahoma" w:hAnsi="Tahoma" w:cs="Tahoma"/>
                <w:sz w:val="16"/>
                <w:szCs w:val="16"/>
              </w:rPr>
              <w:t>1,155,086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1C7B" w14:textId="5634FA57" w:rsidR="00B1250B" w:rsidRPr="00B1250B" w:rsidRDefault="00B1250B" w:rsidP="00B1250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B1250B">
              <w:rPr>
                <w:rFonts w:ascii="Tahoma" w:hAnsi="Tahoma" w:cs="Tahoma"/>
                <w:sz w:val="16"/>
                <w:szCs w:val="16"/>
              </w:rPr>
              <w:t>91.06%</w:t>
            </w:r>
          </w:p>
        </w:tc>
      </w:tr>
      <w:tr w:rsidR="00B1250B" w:rsidRPr="00953D48" w14:paraId="3FB48FD7" w14:textId="77777777" w:rsidTr="00953D48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CB04" w14:textId="6F1E7B68" w:rsidR="00B1250B" w:rsidRPr="00953D48" w:rsidRDefault="00B1250B" w:rsidP="00B1250B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953D48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202</w:t>
            </w:r>
            <w:r w:rsidR="00EA2D5A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26C0" w14:textId="21979797" w:rsidR="00B1250B" w:rsidRPr="00B1250B" w:rsidRDefault="00B1250B" w:rsidP="00B1250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B1250B">
              <w:rPr>
                <w:rFonts w:ascii="Tahoma" w:hAnsi="Tahoma" w:cs="Tahoma"/>
                <w:sz w:val="16"/>
                <w:szCs w:val="16"/>
              </w:rPr>
              <w:t>1,432,645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8CD5" w14:textId="2CF552DE" w:rsidR="00B1250B" w:rsidRPr="00B1250B" w:rsidRDefault="00B1250B" w:rsidP="00B1250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B1250B">
              <w:rPr>
                <w:rFonts w:ascii="Tahoma" w:hAnsi="Tahoma" w:cs="Tahoma"/>
                <w:sz w:val="16"/>
                <w:szCs w:val="16"/>
              </w:rPr>
              <w:t>1,434,340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B59A" w14:textId="66EFA975" w:rsidR="00B1250B" w:rsidRPr="00B1250B" w:rsidRDefault="00B1250B" w:rsidP="00B1250B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B1250B">
              <w:rPr>
                <w:rFonts w:ascii="Tahoma" w:hAnsi="Tahoma" w:cs="Tahoma"/>
                <w:sz w:val="16"/>
                <w:szCs w:val="16"/>
              </w:rPr>
              <w:t>100.12%</w:t>
            </w:r>
          </w:p>
        </w:tc>
      </w:tr>
    </w:tbl>
    <w:p w14:paraId="04D23CBB" w14:textId="77777777" w:rsidR="009A6AF8" w:rsidRDefault="009A6AF8">
      <w:pPr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</w:p>
    <w:p w14:paraId="3C6F58C8" w14:textId="3B1A8E4F" w:rsidR="00884D9C" w:rsidRDefault="00884D9C">
      <w:r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Извор: Одлуке о завршним рачунима буџета </w:t>
      </w:r>
      <w:r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општине </w:t>
      </w:r>
      <w:r w:rsidR="00422350">
        <w:rPr>
          <w:rFonts w:ascii="Tahoma" w:hAnsi="Tahoma" w:cs="Tahoma"/>
          <w:bCs/>
          <w:iCs/>
          <w:noProof/>
          <w:sz w:val="18"/>
          <w:szCs w:val="18"/>
          <w:lang w:val="sr-Cyrl-RS"/>
        </w:rPr>
        <w:t>С</w:t>
      </w:r>
      <w:r w:rsidR="00542EAD">
        <w:rPr>
          <w:rFonts w:ascii="Tahoma" w:hAnsi="Tahoma" w:cs="Tahoma"/>
          <w:bCs/>
          <w:iCs/>
          <w:noProof/>
          <w:sz w:val="18"/>
          <w:szCs w:val="18"/>
          <w:lang w:val="sr-Cyrl-RS"/>
        </w:rPr>
        <w:t>медеревска Паланка</w:t>
      </w:r>
      <w:r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2019</w:t>
      </w:r>
      <w:r>
        <w:rPr>
          <w:rFonts w:ascii="Tahoma" w:hAnsi="Tahoma" w:cs="Tahoma"/>
          <w:bCs/>
          <w:iCs/>
          <w:noProof/>
          <w:sz w:val="18"/>
          <w:szCs w:val="18"/>
          <w:lang w:val="sr-Cyrl-RS"/>
        </w:rPr>
        <w:t>-2021</w:t>
      </w:r>
    </w:p>
    <w:p w14:paraId="259FCBE7" w14:textId="1F04448D" w:rsidR="00884D9C" w:rsidRDefault="009A6AF8">
      <w:r w:rsidRPr="008B5ABD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lastRenderedPageBreak/>
        <mc:AlternateContent>
          <mc:Choice Requires="wps">
            <w:drawing>
              <wp:anchor distT="91440" distB="91440" distL="114300" distR="114300" simplePos="0" relativeHeight="251674624" behindDoc="0" locked="0" layoutInCell="1" allowOverlap="1" wp14:anchorId="792AA2D2" wp14:editId="65A01D4C">
                <wp:simplePos x="0" y="0"/>
                <wp:positionH relativeFrom="margin">
                  <wp:align>right</wp:align>
                </wp:positionH>
                <wp:positionV relativeFrom="paragraph">
                  <wp:posOffset>390</wp:posOffset>
                </wp:positionV>
                <wp:extent cx="5943600" cy="1359535"/>
                <wp:effectExtent l="0" t="0" r="19050" b="1206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595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65C31" w14:textId="656F85C3" w:rsidR="00077EE0" w:rsidRPr="00495694" w:rsidRDefault="00077EE0" w:rsidP="00077EE0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Индикатори за потребе израде анализе стања и праћења достизања циљева одрживог развоја – 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планирање и </w:t>
                            </w:r>
                            <w:r w:rsidR="00A9590F"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остварење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/извршење буџета </w:t>
                            </w:r>
                            <w:r w:rsidR="001E1CA3"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општине</w:t>
                            </w: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148BA98E" w14:textId="2B601CFB" w:rsidR="00077EE0" w:rsidRPr="00495694" w:rsidRDefault="00077EE0" w:rsidP="00077EE0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Проценат реализације/остварење планираног обима приходне стране </w:t>
                            </w:r>
                            <w:r w:rsidR="001E1CA3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општинског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буџета</w:t>
                            </w:r>
                          </w:p>
                          <w:p w14:paraId="4CF479B0" w14:textId="3DE3717C" w:rsidR="00077EE0" w:rsidRPr="00495694" w:rsidRDefault="00077EE0" w:rsidP="00077EE0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Релативни показатељ извршења планираног обима расхода и издатака буџета</w:t>
                            </w:r>
                          </w:p>
                          <w:p w14:paraId="59ED2B41" w14:textId="77777777" w:rsidR="00077EE0" w:rsidRPr="00495694" w:rsidRDefault="00077EE0" w:rsidP="00077EE0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A1400A" w14:textId="77777777" w:rsidR="00077EE0" w:rsidRPr="00495694" w:rsidRDefault="00077EE0" w:rsidP="00077EE0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22C143" w14:textId="77777777" w:rsidR="00077EE0" w:rsidRPr="00495694" w:rsidRDefault="00077EE0" w:rsidP="00077EE0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5B9BD5" w:themeColor="accent1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5CE41C" w14:textId="77777777" w:rsidR="00077EE0" w:rsidRPr="00495694" w:rsidRDefault="00077EE0" w:rsidP="00077EE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AA2D2" id="_x0000_s1034" type="#_x0000_t202" style="position:absolute;margin-left:416.8pt;margin-top:.05pt;width:468pt;height:107.05pt;z-index:251674624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" fillcolor="white [3201]" strokecolor="#2f5496 [2408]" strokeweight="1pt">
                <v:textbox>
                  <w:txbxContent>
                    <w:p w14:paraId="43865C31" w14:textId="656F85C3" w:rsidR="00077EE0" w:rsidRPr="00495694" w:rsidRDefault="00077EE0" w:rsidP="00077EE0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Индикатори за потребе израде анализе стања и праћења достизања циљева одрживог развоја – </w:t>
                      </w:r>
                      <w:r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планирање и </w:t>
                      </w:r>
                      <w:r w:rsidR="00A9590F"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остварење</w:t>
                      </w:r>
                      <w:r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/извршење буџета </w:t>
                      </w:r>
                      <w:r w:rsidR="001E1CA3"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општине</w:t>
                      </w: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148BA98E" w14:textId="2B601CFB" w:rsidR="00077EE0" w:rsidRPr="00495694" w:rsidRDefault="00077EE0" w:rsidP="00077EE0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Проценат реализације/остварење планираног обима приходне стране </w:t>
                      </w:r>
                      <w:r w:rsidR="001E1CA3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општинског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буџета</w:t>
                      </w:r>
                    </w:p>
                    <w:p w14:paraId="4CF479B0" w14:textId="3DE3717C" w:rsidR="00077EE0" w:rsidRPr="00495694" w:rsidRDefault="00077EE0" w:rsidP="00077EE0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Релативни показатељ извршења планираног обима расхода и издатака буџета</w:t>
                      </w:r>
                    </w:p>
                    <w:p w14:paraId="59ED2B41" w14:textId="77777777" w:rsidR="00077EE0" w:rsidRPr="00495694" w:rsidRDefault="00077EE0" w:rsidP="00077EE0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A1400A" w14:textId="77777777" w:rsidR="00077EE0" w:rsidRPr="00495694" w:rsidRDefault="00077EE0" w:rsidP="00077EE0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22C143" w14:textId="77777777" w:rsidR="00077EE0" w:rsidRPr="00495694" w:rsidRDefault="00077EE0" w:rsidP="00077EE0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5B9BD5" w:themeColor="accent1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5CE41C" w14:textId="77777777" w:rsidR="00077EE0" w:rsidRPr="00495694" w:rsidRDefault="00077EE0" w:rsidP="00077EE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5BFE851" w14:textId="3A45B1A9" w:rsidR="00240D68" w:rsidRDefault="005C471E" w:rsidP="003A12CD">
      <w:pPr>
        <w:spacing w:after="120"/>
        <w:jc w:val="both"/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</w:pPr>
      <w:r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</w:t>
      </w:r>
    </w:p>
    <w:p w14:paraId="60CD1B96" w14:textId="651B95CE" w:rsidR="000C2C48" w:rsidRDefault="000C2C48" w:rsidP="00E35BF5">
      <w:pPr>
        <w:spacing w:after="120"/>
        <w:jc w:val="both"/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</w:pPr>
      <w:r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>5</w:t>
      </w:r>
      <w:r w:rsidRPr="005241B1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 xml:space="preserve">. Анализа </w:t>
      </w:r>
      <w:r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>финансијског стања и капацитета</w:t>
      </w:r>
      <w:r w:rsidRPr="005241B1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 xml:space="preserve"> </w:t>
      </w:r>
      <w:r w:rsidR="004262FB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 xml:space="preserve">општине </w:t>
      </w:r>
      <w:r w:rsidR="008B4B74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>С</w:t>
      </w:r>
      <w:r w:rsidR="00852294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>медеревска Паланка</w:t>
      </w:r>
      <w:r w:rsidR="00667501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 xml:space="preserve"> </w:t>
      </w:r>
      <w:r w:rsidR="00E35BF5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>за финансирање кључних развојних приоритета</w:t>
      </w:r>
    </w:p>
    <w:p w14:paraId="7D52F10F" w14:textId="77777777" w:rsidR="00240D68" w:rsidRDefault="00240D68" w:rsidP="00FA547A">
      <w:pPr>
        <w:suppressAutoHyphens w:val="0"/>
        <w:spacing w:after="120"/>
        <w:jc w:val="both"/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</w:pPr>
    </w:p>
    <w:p w14:paraId="4E15FC9A" w14:textId="5479DD34" w:rsidR="00A65158" w:rsidRPr="00922CD9" w:rsidRDefault="0017691B" w:rsidP="00A9590F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</w:pPr>
      <w:r w:rsidRPr="0017691B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Просек планираних годишњих издвајања буџета </w:t>
      </w:r>
      <w:r w:rsidR="00A65158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општине </w:t>
      </w:r>
      <w:r w:rsidR="006D49C1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Смедеревска Паланка</w:t>
      </w:r>
      <w:r w:rsidR="009539A4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 </w:t>
      </w:r>
      <w:r w:rsidRPr="0017691B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за капиталне издатке износи </w:t>
      </w:r>
      <w:r w:rsidR="00FA0E52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6,18</w:t>
      </w:r>
      <w:r w:rsidRPr="0017691B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% у односу на укупно планирани ниво расхода и издатака. </w:t>
      </w:r>
      <w:r w:rsidR="0044117A" w:rsidRPr="002114D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Када </w:t>
      </w:r>
      <w:r w:rsidR="0044117A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се посматрају подаци о расходима и издацима буџета јединице локалне самоуправе, са циљем утврђивања њених капацитета за даљи развој, потребно је извршити и </w:t>
      </w:r>
      <w:r w:rsidR="0044117A" w:rsidRPr="0017691B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анализу планираних издвајања у конкретне сврхе.</w:t>
      </w:r>
      <w:r w:rsidR="0044117A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У практичном смислу, то значи конкретизацију дела средстава намењених за функционисање </w:t>
      </w:r>
      <w:r w:rsidR="001E1CA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општине</w:t>
      </w:r>
      <w:r w:rsidR="00E35BF5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, њених органа и установа</w:t>
      </w:r>
      <w:r w:rsidR="005C3E4E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, односно</w:t>
      </w:r>
      <w:r w:rsidR="0044117A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разграничења укупних потенцијала за одређена улагања – капитални издаци/пројекти. Табела бр. </w:t>
      </w:r>
      <w:r w:rsidR="005C3E4E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9</w:t>
      </w:r>
      <w:r w:rsidR="0044117A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. која следи, сходно доступним подацима, показује планске величине буџетирања у </w:t>
      </w:r>
      <w:r w:rsidR="00A6515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општини </w:t>
      </w:r>
      <w:r w:rsidR="006D49C1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Смедеревска Паланка</w:t>
      </w:r>
      <w:r w:rsidR="0044117A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и указује на величину расхода за потребе рада/функционисања </w:t>
      </w:r>
      <w:r w:rsidR="00A6515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општине</w:t>
      </w:r>
      <w:r w:rsidR="0044117A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(класа 4), са једне стране, односно планирана издвајања за издатке за набавку нефинансијске имовине (класа 5), са друге стране. Што се тиче финансирања основних надлежности </w:t>
      </w:r>
      <w:r w:rsidR="00A6515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општине</w:t>
      </w:r>
      <w:r w:rsidR="0044117A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, у то спадају плате и друге накнаде</w:t>
      </w:r>
      <w:r w:rsidR="005C3E4E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запосленима</w:t>
      </w:r>
      <w:r w:rsidR="0044117A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, стални трошкови, трошкови путовања, уговорене услуге, текуће поправке и одржавање, материјал, субвенције, трансфери за трошкове школа, социјална давања и финансирање цивилног сектора. Реализација наведених расхода се врши у складу са законским прописима и другим актима које су донели органи ЈЛС. Они се евидентирају на контима класе 4 и представљени су у планским величинама кроз следећи табеларни приказ:</w:t>
      </w:r>
    </w:p>
    <w:p w14:paraId="5BAF5170" w14:textId="49BEC3BA" w:rsidR="0017691B" w:rsidRDefault="0044117A" w:rsidP="00A9590F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</w:pPr>
      <w:r w:rsidRPr="00F82A7F"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  <w:t xml:space="preserve">Табела бр. </w:t>
      </w:r>
      <w:r w:rsidR="005C471E"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  <w:t>9</w:t>
      </w:r>
      <w:r w:rsidRPr="00F82A7F"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  <w:t xml:space="preserve">. </w:t>
      </w:r>
      <w:r w:rsidRPr="005C471E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>Рекапитулација планираних расхода и издатака по њиховој категорији у посматраном периоду од 201</w:t>
      </w:r>
      <w:r w:rsidR="005C3E4E" w:rsidRPr="005C471E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>9</w:t>
      </w:r>
      <w:r w:rsidRPr="005C471E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 xml:space="preserve"> до 202</w:t>
      </w:r>
      <w:r w:rsidR="005C3E4E" w:rsidRPr="005C471E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>1</w:t>
      </w:r>
      <w:r w:rsidRPr="005C471E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 xml:space="preserve"> – </w:t>
      </w:r>
      <w:r w:rsidR="00A65158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 xml:space="preserve">општина </w:t>
      </w:r>
      <w:r w:rsidR="006D49C1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>Смедеревска Паланка</w:t>
      </w:r>
    </w:p>
    <w:p w14:paraId="2321C7A3" w14:textId="77777777" w:rsidR="00392202" w:rsidRDefault="00392202" w:rsidP="00A9590F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</w:pPr>
    </w:p>
    <w:p w14:paraId="7E043B38" w14:textId="77777777" w:rsidR="00392202" w:rsidRDefault="00392202" w:rsidP="00A9590F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</w:pPr>
    </w:p>
    <w:p w14:paraId="36B15BD0" w14:textId="77777777" w:rsidR="00392202" w:rsidRDefault="00392202" w:rsidP="00A9590F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</w:pPr>
    </w:p>
    <w:p w14:paraId="45DACC89" w14:textId="77777777" w:rsidR="00392202" w:rsidRDefault="00392202" w:rsidP="00A9590F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</w:pPr>
    </w:p>
    <w:p w14:paraId="7EA38BC4" w14:textId="77777777" w:rsidR="00392202" w:rsidRDefault="00392202" w:rsidP="00A9590F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</w:pPr>
    </w:p>
    <w:p w14:paraId="2285A5D8" w14:textId="77777777" w:rsidR="00392202" w:rsidRDefault="00392202" w:rsidP="00A9590F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020"/>
        <w:gridCol w:w="1590"/>
        <w:gridCol w:w="1890"/>
        <w:gridCol w:w="1440"/>
        <w:gridCol w:w="1710"/>
        <w:gridCol w:w="1710"/>
      </w:tblGrid>
      <w:tr w:rsidR="004E422E" w:rsidRPr="004E422E" w14:paraId="0F3FC654" w14:textId="77777777" w:rsidTr="00F37BC9">
        <w:trPr>
          <w:trHeight w:val="57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BCC4" w14:textId="77777777" w:rsidR="004E422E" w:rsidRPr="004E422E" w:rsidRDefault="004E422E" w:rsidP="004E422E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71B6" w14:textId="77777777" w:rsidR="004E422E" w:rsidRPr="004E422E" w:rsidRDefault="004E422E" w:rsidP="004E422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2A09" w14:textId="77777777" w:rsidR="004E422E" w:rsidRPr="004E422E" w:rsidRDefault="004E422E" w:rsidP="004E422E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69B9" w14:textId="77777777" w:rsidR="004E422E" w:rsidRPr="004E422E" w:rsidRDefault="004E422E" w:rsidP="004E422E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9881" w14:textId="77777777" w:rsidR="004E422E" w:rsidRPr="004E422E" w:rsidRDefault="004E422E" w:rsidP="004E422E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4C7A" w14:textId="77777777" w:rsidR="004E422E" w:rsidRPr="004E422E" w:rsidRDefault="004E422E" w:rsidP="004E422E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4E422E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 000 динара</w:t>
            </w:r>
          </w:p>
        </w:tc>
      </w:tr>
      <w:tr w:rsidR="005F28E0" w:rsidRPr="004E422E" w14:paraId="5298C87B" w14:textId="77777777" w:rsidTr="00392202">
        <w:trPr>
          <w:trHeight w:val="159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1CA84E79" w14:textId="77777777" w:rsidR="004E422E" w:rsidRPr="004E422E" w:rsidRDefault="004E422E" w:rsidP="004E422E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4E422E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Година буџета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7FD73625" w14:textId="77777777" w:rsidR="004E422E" w:rsidRPr="004E422E" w:rsidRDefault="004E422E" w:rsidP="004E422E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4E422E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Планирани обим расхода (ек. класификација у класи 4)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7E452080" w14:textId="77777777" w:rsidR="004E422E" w:rsidRPr="004E422E" w:rsidRDefault="004E422E" w:rsidP="004E422E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4E422E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Планирани обим расхода (издаци за набавку нефинансијске имовине - класа 5)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3CFCC077" w14:textId="77777777" w:rsidR="004E422E" w:rsidRPr="004E422E" w:rsidRDefault="004E422E" w:rsidP="004E422E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4E422E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Планирани обим расхода за отплату кредите - класа 6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477079B6" w14:textId="77777777" w:rsidR="004E422E" w:rsidRPr="004E422E" w:rsidRDefault="004E422E" w:rsidP="004E422E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4E422E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Укупан обим буџ. расхода и издатака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40FA04D9" w14:textId="77777777" w:rsidR="004E422E" w:rsidRPr="004E422E" w:rsidRDefault="004E422E" w:rsidP="004E422E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4E422E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Проценат планираних издвајања за капиталне издатке</w:t>
            </w:r>
          </w:p>
        </w:tc>
      </w:tr>
      <w:tr w:rsidR="004E422E" w:rsidRPr="004E422E" w14:paraId="4B28AC0C" w14:textId="77777777" w:rsidTr="005F28E0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FF3BF" w14:textId="77777777" w:rsidR="004E422E" w:rsidRPr="004E422E" w:rsidRDefault="004E422E" w:rsidP="004E422E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4E422E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6B0CA" w14:textId="77777777" w:rsidR="004E422E" w:rsidRPr="004E422E" w:rsidRDefault="004E422E" w:rsidP="004E422E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4E422E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91D62" w14:textId="77777777" w:rsidR="004E422E" w:rsidRPr="004E422E" w:rsidRDefault="004E422E" w:rsidP="004E422E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4E422E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916EF" w14:textId="77777777" w:rsidR="004E422E" w:rsidRPr="004E422E" w:rsidRDefault="004E422E" w:rsidP="004E422E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4E422E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1C2F6" w14:textId="77777777" w:rsidR="004E422E" w:rsidRPr="004E422E" w:rsidRDefault="004E422E" w:rsidP="004E422E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4E422E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d=a+b+c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460A" w14:textId="77777777" w:rsidR="004E422E" w:rsidRPr="004E422E" w:rsidRDefault="004E422E" w:rsidP="004E422E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4E422E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e=b/d*100</w:t>
            </w:r>
          </w:p>
        </w:tc>
      </w:tr>
      <w:tr w:rsidR="006E0744" w:rsidRPr="004E422E" w14:paraId="70E08EC9" w14:textId="77777777" w:rsidTr="005F28E0">
        <w:trPr>
          <w:trHeight w:val="228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D2DF6" w14:textId="77777777" w:rsidR="006E0744" w:rsidRPr="004E422E" w:rsidRDefault="006E0744" w:rsidP="006E0744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4E422E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2019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1BE4" w14:textId="6DC03C6A" w:rsidR="006E0744" w:rsidRPr="004E422E" w:rsidRDefault="006E0744" w:rsidP="006E074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1,203,357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FFED4" w14:textId="164B7D75" w:rsidR="006E0744" w:rsidRPr="004E422E" w:rsidRDefault="006E0744" w:rsidP="006E074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45,277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FCE60" w14:textId="75860B6D" w:rsidR="006E0744" w:rsidRPr="004E422E" w:rsidRDefault="006E0744" w:rsidP="006E074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D1E08" w14:textId="41E301CE" w:rsidR="006E0744" w:rsidRPr="004E422E" w:rsidRDefault="006E0744" w:rsidP="006E074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1,248,634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5D4C7" w14:textId="087F88F7" w:rsidR="006E0744" w:rsidRPr="004E422E" w:rsidRDefault="006E0744" w:rsidP="006E074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3.63%</w:t>
            </w:r>
          </w:p>
        </w:tc>
      </w:tr>
      <w:tr w:rsidR="006E0744" w:rsidRPr="004E422E" w14:paraId="4A80A1B0" w14:textId="77777777" w:rsidTr="005F28E0">
        <w:trPr>
          <w:trHeight w:val="228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2B392" w14:textId="77777777" w:rsidR="006E0744" w:rsidRPr="004E422E" w:rsidRDefault="006E0744" w:rsidP="006E0744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4E422E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2020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E04D" w14:textId="27DDF12E" w:rsidR="006E0744" w:rsidRPr="004E422E" w:rsidRDefault="006E0744" w:rsidP="006E074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1,173,490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CB1FB" w14:textId="52DCFDFE" w:rsidR="006E0744" w:rsidRPr="004E422E" w:rsidRDefault="006E0744" w:rsidP="006E074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91,839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4B303" w14:textId="08270837" w:rsidR="006E0744" w:rsidRPr="004E422E" w:rsidRDefault="006E0744" w:rsidP="006E074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46935" w14:textId="3CAE6A70" w:rsidR="006E0744" w:rsidRPr="004E422E" w:rsidRDefault="006E0744" w:rsidP="006E074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1,265,329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4FE67" w14:textId="598EA770" w:rsidR="006E0744" w:rsidRPr="004E422E" w:rsidRDefault="006E0744" w:rsidP="006E074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7.26%</w:t>
            </w:r>
          </w:p>
        </w:tc>
      </w:tr>
      <w:tr w:rsidR="006E0744" w:rsidRPr="004E422E" w14:paraId="4E630AFD" w14:textId="77777777" w:rsidTr="005F28E0">
        <w:trPr>
          <w:trHeight w:val="228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7C8E9" w14:textId="77777777" w:rsidR="006E0744" w:rsidRPr="004E422E" w:rsidRDefault="006E0744" w:rsidP="006E0744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4E422E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2021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362AB" w14:textId="198A1FB2" w:rsidR="006E0744" w:rsidRPr="004E422E" w:rsidRDefault="006E0744" w:rsidP="006E074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1,407,872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D13A8" w14:textId="7A4B52D9" w:rsidR="006E0744" w:rsidRPr="004E422E" w:rsidRDefault="006E0744" w:rsidP="006E074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116,896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8168E" w14:textId="08F7B58F" w:rsidR="006E0744" w:rsidRPr="004E422E" w:rsidRDefault="006E0744" w:rsidP="006E074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62F9B" w14:textId="7BEC33C2" w:rsidR="006E0744" w:rsidRPr="004E422E" w:rsidRDefault="006E0744" w:rsidP="006E074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1,524,768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D4E55" w14:textId="753902E1" w:rsidR="006E0744" w:rsidRPr="004E422E" w:rsidRDefault="006E0744" w:rsidP="006E074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7.67%</w:t>
            </w:r>
          </w:p>
        </w:tc>
      </w:tr>
    </w:tbl>
    <w:p w14:paraId="3F5D6C93" w14:textId="77777777" w:rsidR="00D835DA" w:rsidRDefault="00D835DA" w:rsidP="00E74AA5">
      <w:pPr>
        <w:spacing w:after="120"/>
        <w:jc w:val="both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</w:p>
    <w:p w14:paraId="1CB9DCFB" w14:textId="43A50AA1" w:rsidR="00E74AA5" w:rsidRDefault="00E74AA5" w:rsidP="00E74AA5">
      <w:pPr>
        <w:spacing w:after="120"/>
        <w:jc w:val="both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  <w:r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Извор: Одлуке о </w:t>
      </w:r>
      <w:r>
        <w:rPr>
          <w:rFonts w:ascii="Tahoma" w:hAnsi="Tahoma" w:cs="Tahoma"/>
          <w:bCs/>
          <w:iCs/>
          <w:noProof/>
          <w:sz w:val="18"/>
          <w:szCs w:val="18"/>
          <w:lang w:val="sr-Cyrl-RS"/>
        </w:rPr>
        <w:t>буџету</w:t>
      </w:r>
      <w:r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буџета </w:t>
      </w:r>
      <w:r w:rsidR="00A65158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општине </w:t>
      </w:r>
      <w:r w:rsidR="00052F16">
        <w:rPr>
          <w:rFonts w:ascii="Tahoma" w:hAnsi="Tahoma" w:cs="Tahoma"/>
          <w:bCs/>
          <w:iCs/>
          <w:noProof/>
          <w:sz w:val="18"/>
          <w:szCs w:val="18"/>
          <w:lang w:val="sr-Cyrl-RS"/>
        </w:rPr>
        <w:t>С</w:t>
      </w:r>
      <w:r w:rsidR="00CC1F10">
        <w:rPr>
          <w:rFonts w:ascii="Tahoma" w:hAnsi="Tahoma" w:cs="Tahoma"/>
          <w:bCs/>
          <w:iCs/>
          <w:noProof/>
          <w:sz w:val="18"/>
          <w:szCs w:val="18"/>
          <w:lang w:val="sr-Cyrl-RS"/>
        </w:rPr>
        <w:t>медеревска Паланка</w:t>
      </w:r>
      <w:r w:rsidR="005E650C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</w:t>
      </w:r>
      <w:r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>2019-2021</w:t>
      </w:r>
    </w:p>
    <w:p w14:paraId="604AF7CB" w14:textId="77777777" w:rsidR="00392202" w:rsidRDefault="00392202" w:rsidP="006A5293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</w:pPr>
    </w:p>
    <w:p w14:paraId="5CC06DF8" w14:textId="5916F1E6" w:rsidR="00CD490A" w:rsidRDefault="0017691B" w:rsidP="006A5293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</w:pPr>
      <w:r w:rsidRPr="00970DC3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У планирању средстава за инвестиције</w:t>
      </w:r>
      <w:r w:rsidR="00970DC3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,</w:t>
      </w:r>
      <w:r w:rsidRPr="00970DC3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 </w:t>
      </w:r>
      <w:r w:rsidR="00970DC3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кроз годишњи буџет </w:t>
      </w:r>
      <w:r w:rsidR="00A65158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општине </w:t>
      </w:r>
      <w:r w:rsidR="003E7D3E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С</w:t>
      </w:r>
      <w:r w:rsidR="00CC1F10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медеревска Паланка</w:t>
      </w:r>
      <w:r w:rsidR="00970DC3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, </w:t>
      </w:r>
      <w:r w:rsidRPr="00970DC3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евидент</w:t>
      </w:r>
      <w:r w:rsidR="00970DC3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ан је </w:t>
      </w:r>
      <w:r w:rsidR="00CC1F10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уз</w:t>
      </w:r>
      <w:r w:rsidR="00C5410F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лазни </w:t>
      </w:r>
      <w:r w:rsidR="009E5DFA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тренд</w:t>
      </w:r>
      <w:r w:rsidR="00970DC3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 целокупног процеса. </w:t>
      </w:r>
      <w:r w:rsidR="0044117A" w:rsidRPr="00970DC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Према представљеним подацима, планира</w:t>
      </w:r>
      <w:r w:rsidR="0079004E" w:rsidRPr="00970DC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ње</w:t>
      </w:r>
      <w:r w:rsidR="0044117A" w:rsidRPr="00970DC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изда</w:t>
      </w:r>
      <w:r w:rsidR="0079004E" w:rsidRPr="00970DC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така</w:t>
      </w:r>
      <w:r w:rsidR="0044117A" w:rsidRPr="00970DC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за капитална улагања (класа 5) </w:t>
      </w:r>
      <w:r w:rsidR="0079004E" w:rsidRPr="00970DC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је </w:t>
      </w:r>
      <w:r w:rsidR="005A6D2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повећан</w:t>
      </w:r>
      <w:r w:rsidR="00C5410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79004E" w:rsidRPr="00970DC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са </w:t>
      </w:r>
      <w:r w:rsidR="005A6D2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45</w:t>
      </w:r>
      <w:r w:rsidR="00970DC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милиона динара</w:t>
      </w:r>
      <w:r w:rsidR="00C5410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, прво на </w:t>
      </w:r>
      <w:r w:rsidR="005A6D2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91</w:t>
      </w:r>
      <w:r w:rsidR="002B1EB9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, а у 2021. години</w:t>
      </w:r>
      <w:r w:rsidR="0079004E" w:rsidRPr="00970DC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на </w:t>
      </w:r>
      <w:r w:rsidR="005A6D2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117 </w:t>
      </w:r>
      <w:r w:rsidR="00970DC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милиона динара, што се може пропратити и преко релативних показатеља учешћа ових издатака у укупно планираним расходима и издацима буџета.</w:t>
      </w:r>
      <w:r w:rsidR="0079004E" w:rsidRPr="00970DC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A77CA9" w:rsidRPr="00970DC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У односу на планирани обим капиталних издатака, реализација инвестиционих подухвата се несметано спроводи, јер већи део средстава за њих </w:t>
      </w:r>
      <w:r w:rsidR="00A77CA9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општина </w:t>
      </w:r>
      <w:r w:rsidR="005A6D2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Смедеревска Паланка</w:t>
      </w:r>
      <w:r w:rsidR="00A77CA9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A77CA9" w:rsidRPr="00970DC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обезбеђује из својих </w:t>
      </w:r>
      <w:r w:rsidR="00A77CA9" w:rsidRPr="008609A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буџетских (изворних и уступљених) извора</w:t>
      </w:r>
      <w:r w:rsidR="00593C77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и средствима</w:t>
      </w:r>
      <w:r w:rsidR="00A77CA9" w:rsidRPr="008609A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ненаменског транфера, </w:t>
      </w:r>
      <w:r w:rsidR="00593C77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а</w:t>
      </w:r>
      <w:r w:rsidR="00A77CA9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510A96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мањим делом из </w:t>
      </w:r>
      <w:r w:rsidR="00A77CA9" w:rsidRPr="008609A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наменских трансферних средстава са виших нивоа власти. Наведене чињенице које се односе на извршење буџетских апропријација по капиталним издацима, односно способност локалног буџета да инвестиције планира и финансира из властитих извора, доказују подаци из наредне табеле (табела бр. 10). </w:t>
      </w:r>
      <w:r w:rsidR="000B560F" w:rsidRPr="008609A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У односу на планске величине у класи 5, просечно извршење ових </w:t>
      </w:r>
      <w:r w:rsidR="00CD490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издатака</w:t>
      </w:r>
      <w:r w:rsidR="000B560F" w:rsidRPr="008609A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је на </w:t>
      </w:r>
      <w:r w:rsidR="00C059F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солидном</w:t>
      </w:r>
      <w:r w:rsidR="00E77066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0B560F" w:rsidRPr="008609A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нивоу </w:t>
      </w:r>
      <w:r w:rsidR="00E77066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и износи </w:t>
      </w:r>
      <w:r w:rsidR="00603F4B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81</w:t>
      </w:r>
      <w:r w:rsidR="000B560F" w:rsidRPr="008609A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%</w:t>
      </w:r>
      <w:r w:rsidR="008609A2" w:rsidRPr="008609A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, </w:t>
      </w:r>
      <w:r w:rsidR="000B560F" w:rsidRPr="008609A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док остатак планираних апропријација </w:t>
      </w:r>
      <w:r w:rsidR="00593C77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за улагања </w:t>
      </w:r>
      <w:r w:rsidR="000B560F" w:rsidRPr="008609A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се не реализује.</w:t>
      </w:r>
      <w:r w:rsidR="00D06E86" w:rsidRPr="008609A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E01646" w:rsidRPr="008609A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Из угла инвестиција, </w:t>
      </w:r>
      <w:r w:rsidR="0058169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у посматраном периоду</w:t>
      </w:r>
      <w:r w:rsidR="000C764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,</w:t>
      </w:r>
      <w:r w:rsidR="0058169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однос буџетских извора и других (извори виших органа власти, донације, ЕУ фондови и слично) финансирања капиталних издатака</w:t>
      </w:r>
      <w:r w:rsidR="008B73AE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је доста неповољан</w:t>
      </w:r>
      <w:r w:rsidR="006E7AD1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(због недостатка прибављања других извора финансирања)</w:t>
      </w:r>
      <w:r w:rsidR="0058169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, те </w:t>
      </w:r>
      <w:r w:rsidR="004814F4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је просе</w:t>
      </w:r>
      <w:r w:rsidR="004121B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к извора финансирања</w:t>
      </w:r>
      <w:r w:rsidR="0058169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593C77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набавк</w:t>
      </w:r>
      <w:r w:rsidR="006E7AD1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е</w:t>
      </w:r>
      <w:r w:rsidR="00593C77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нефинансијске имовине</w:t>
      </w:r>
      <w:r w:rsidR="0058169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из </w:t>
      </w:r>
      <w:r w:rsidR="00510A96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властитих извора</w:t>
      </w:r>
      <w:r w:rsidR="004121B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износи </w:t>
      </w:r>
      <w:r w:rsidR="001455B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67,9</w:t>
      </w:r>
      <w:r w:rsidR="004121B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%, односно из д</w:t>
      </w:r>
      <w:r w:rsidR="00B24E60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ру</w:t>
      </w:r>
      <w:r w:rsidR="004121B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гих извора </w:t>
      </w:r>
      <w:r w:rsidR="001455B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32,1</w:t>
      </w:r>
      <w:r w:rsidR="004A32D0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%</w:t>
      </w:r>
      <w:r w:rsidR="00B24E60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.</w:t>
      </w:r>
    </w:p>
    <w:p w14:paraId="18DDBC2F" w14:textId="07419D67" w:rsidR="00CD490A" w:rsidRDefault="0044117A" w:rsidP="006A5293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</w:pPr>
      <w:r w:rsidRPr="00F82A7F"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  <w:t xml:space="preserve">Табела бр. </w:t>
      </w:r>
      <w:r w:rsidR="00E74AA5"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  <w:t>10</w:t>
      </w:r>
      <w:r w:rsidRPr="00F82A7F"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  <w:t xml:space="preserve">. </w:t>
      </w:r>
      <w:r w:rsidRPr="00E74AA5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>Приказ реализације планираних капиталних издатака по изворима њиховог финансирања у пос</w:t>
      </w:r>
      <w:r w:rsidR="00FB7489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>ма</w:t>
      </w:r>
      <w:r w:rsidRPr="00E74AA5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>траном периоду</w:t>
      </w:r>
      <w:r w:rsidR="00E74AA5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 xml:space="preserve"> од 2019 – 2021 године – </w:t>
      </w:r>
      <w:r w:rsidR="00C00E0E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 xml:space="preserve">општина </w:t>
      </w:r>
      <w:r w:rsidR="00A5692C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>Смедеревска Паланка</w:t>
      </w:r>
    </w:p>
    <w:p w14:paraId="0DEF5768" w14:textId="77777777" w:rsidR="00392202" w:rsidRDefault="00392202" w:rsidP="006A5293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</w:pPr>
    </w:p>
    <w:p w14:paraId="33C9D01E" w14:textId="77777777" w:rsidR="00392202" w:rsidRDefault="00392202" w:rsidP="006A5293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</w:pPr>
    </w:p>
    <w:p w14:paraId="57DB96C0" w14:textId="77777777" w:rsidR="00392202" w:rsidRDefault="00392202" w:rsidP="006A5293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</w:pPr>
    </w:p>
    <w:p w14:paraId="2B4AACC9" w14:textId="77777777" w:rsidR="00392202" w:rsidRDefault="00392202" w:rsidP="006A5293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</w:pPr>
    </w:p>
    <w:p w14:paraId="4BBB7EAA" w14:textId="77777777" w:rsidR="00392202" w:rsidRPr="00CD490A" w:rsidRDefault="00392202" w:rsidP="006A5293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980"/>
        <w:gridCol w:w="1810"/>
        <w:gridCol w:w="1890"/>
        <w:gridCol w:w="1530"/>
        <w:gridCol w:w="1453"/>
        <w:gridCol w:w="1697"/>
      </w:tblGrid>
      <w:tr w:rsidR="009A7011" w:rsidRPr="009A7011" w14:paraId="54C19796" w14:textId="77777777" w:rsidTr="009A7011">
        <w:trPr>
          <w:trHeight w:val="22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6D6D" w14:textId="77777777" w:rsidR="009A7011" w:rsidRPr="009A7011" w:rsidRDefault="009A7011" w:rsidP="009A7011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9FAC" w14:textId="77777777" w:rsidR="009A7011" w:rsidRPr="009A7011" w:rsidRDefault="009A7011" w:rsidP="009A7011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88B7" w14:textId="77777777" w:rsidR="009A7011" w:rsidRPr="009A7011" w:rsidRDefault="009A7011" w:rsidP="009A7011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984A" w14:textId="77777777" w:rsidR="009A7011" w:rsidRPr="009A7011" w:rsidRDefault="009A7011" w:rsidP="009A7011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377C" w14:textId="77777777" w:rsidR="009A7011" w:rsidRPr="009A7011" w:rsidRDefault="009A7011" w:rsidP="009A7011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5967" w14:textId="77777777" w:rsidR="009A7011" w:rsidRPr="009A7011" w:rsidRDefault="009A7011" w:rsidP="009A7011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9A7011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 000 динара</w:t>
            </w:r>
          </w:p>
        </w:tc>
      </w:tr>
      <w:tr w:rsidR="009A7011" w:rsidRPr="009A7011" w14:paraId="49644EF2" w14:textId="77777777" w:rsidTr="009A7011">
        <w:trPr>
          <w:trHeight w:val="112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21E14729" w14:textId="77777777" w:rsidR="009A7011" w:rsidRPr="009A7011" w:rsidRDefault="009A7011" w:rsidP="009A7011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9A7011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Година буџета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5A73B86D" w14:textId="77777777" w:rsidR="009A7011" w:rsidRPr="009A7011" w:rsidRDefault="009A7011" w:rsidP="009A7011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9A7011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Планирани обим расхода (издаци за набавку нефинансијске имовине - класа 5)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247700D8" w14:textId="77777777" w:rsidR="009A7011" w:rsidRPr="009A7011" w:rsidRDefault="009A7011" w:rsidP="009A7011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9A7011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Реализовани обим расхода (издаци за набавку нефинансијске имовине - класа 5)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bottom"/>
            <w:hideMark/>
          </w:tcPr>
          <w:p w14:paraId="046830BE" w14:textId="77777777" w:rsidR="009A7011" w:rsidRPr="009A7011" w:rsidRDefault="009A7011" w:rsidP="009A7011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9A7011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Реализовани обим расхода за капиталне издатке финансираних из различитих извора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2C22AD6F" w14:textId="77777777" w:rsidR="009A7011" w:rsidRPr="009A7011" w:rsidRDefault="009A7011" w:rsidP="009A7011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9A7011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Проценат реализације капиталних издатака у односу на планске величине</w:t>
            </w:r>
          </w:p>
        </w:tc>
      </w:tr>
      <w:tr w:rsidR="009A7011" w:rsidRPr="009A7011" w14:paraId="4E60EF1B" w14:textId="77777777" w:rsidTr="009A7011">
        <w:trPr>
          <w:trHeight w:val="67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568AA" w14:textId="77777777" w:rsidR="009A7011" w:rsidRPr="009A7011" w:rsidRDefault="009A7011" w:rsidP="009A7011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D17ED" w14:textId="77777777" w:rsidR="009A7011" w:rsidRPr="009A7011" w:rsidRDefault="009A7011" w:rsidP="009A7011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BB497" w14:textId="77777777" w:rsidR="009A7011" w:rsidRPr="009A7011" w:rsidRDefault="009A7011" w:rsidP="009A7011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6D9BE85C" w14:textId="77777777" w:rsidR="009A7011" w:rsidRPr="009A7011" w:rsidRDefault="009A7011" w:rsidP="009A7011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9A7011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Извор буџета - 01 (и извор 13)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112DF3A8" w14:textId="77777777" w:rsidR="009A7011" w:rsidRPr="009A7011" w:rsidRDefault="009A7011" w:rsidP="009A7011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9A7011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Други извори</w:t>
            </w: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92C9B" w14:textId="77777777" w:rsidR="009A7011" w:rsidRPr="009A7011" w:rsidRDefault="009A7011" w:rsidP="009A7011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</w:tr>
      <w:tr w:rsidR="00C059FC" w:rsidRPr="009A7011" w14:paraId="16E15770" w14:textId="77777777" w:rsidTr="009A7011">
        <w:trPr>
          <w:trHeight w:val="45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1AC82" w14:textId="77777777" w:rsidR="00C059FC" w:rsidRPr="009A7011" w:rsidRDefault="00C059FC" w:rsidP="00C059FC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9A7011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2019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3DEED" w14:textId="0079CDD4" w:rsidR="00C059FC" w:rsidRPr="009A7011" w:rsidRDefault="00C059FC" w:rsidP="00C059FC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45,277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C12ED" w14:textId="550F098E" w:rsidR="00C059FC" w:rsidRPr="009A7011" w:rsidRDefault="00C059FC" w:rsidP="00C059FC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36,084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BEC5FE" w14:textId="226EA32A" w:rsidR="00C059FC" w:rsidRPr="009A7011" w:rsidRDefault="00C059FC" w:rsidP="00C059FC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29,540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8E72" w14:textId="1C6D401E" w:rsidR="00C059FC" w:rsidRPr="009A7011" w:rsidRDefault="00C059FC" w:rsidP="00C059FC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6,544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B77D7" w14:textId="3C4B6AD1" w:rsidR="00C059FC" w:rsidRPr="009A7011" w:rsidRDefault="00C059FC" w:rsidP="00C059FC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80%</w:t>
            </w:r>
          </w:p>
        </w:tc>
      </w:tr>
      <w:tr w:rsidR="00C059FC" w:rsidRPr="009A7011" w14:paraId="08BCBC7F" w14:textId="77777777" w:rsidTr="009A7011">
        <w:trPr>
          <w:trHeight w:val="45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41F7B" w14:textId="77777777" w:rsidR="00C059FC" w:rsidRPr="009A7011" w:rsidRDefault="00C059FC" w:rsidP="00C059FC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9A7011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2020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88994" w14:textId="232CC895" w:rsidR="00C059FC" w:rsidRPr="009A7011" w:rsidRDefault="00C059FC" w:rsidP="00C059FC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91,839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2A8B6" w14:textId="14F9E275" w:rsidR="00C059FC" w:rsidRPr="009A7011" w:rsidRDefault="00C059FC" w:rsidP="00C059FC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67,161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45ED" w14:textId="08186087" w:rsidR="00C059FC" w:rsidRPr="009A7011" w:rsidRDefault="00C059FC" w:rsidP="00C059FC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36,558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7FF2" w14:textId="518BABB7" w:rsidR="00C059FC" w:rsidRPr="009A7011" w:rsidRDefault="00C059FC" w:rsidP="00C059FC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30,603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B4181" w14:textId="2C3A8A22" w:rsidR="00C059FC" w:rsidRPr="009A7011" w:rsidRDefault="00C059FC" w:rsidP="00C059FC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73%</w:t>
            </w:r>
          </w:p>
        </w:tc>
      </w:tr>
      <w:tr w:rsidR="00C059FC" w:rsidRPr="009A7011" w14:paraId="7CDB4FC7" w14:textId="77777777" w:rsidTr="009A7011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80451" w14:textId="77777777" w:rsidR="00C059FC" w:rsidRPr="009A7011" w:rsidRDefault="00C059FC" w:rsidP="00C059FC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9A7011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2021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A6966" w14:textId="02ADE9DB" w:rsidR="00C059FC" w:rsidRPr="009A7011" w:rsidRDefault="00C059FC" w:rsidP="00C059FC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116,896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A3CF4" w14:textId="12C9AE3D" w:rsidR="00C059FC" w:rsidRPr="009A7011" w:rsidRDefault="00C059FC" w:rsidP="00C059FC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106,589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140BF" w14:textId="2B9C6C0C" w:rsidR="00C059FC" w:rsidRPr="009A7011" w:rsidRDefault="00C059FC" w:rsidP="00C059FC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76,456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DACA3" w14:textId="67220C85" w:rsidR="00C059FC" w:rsidRPr="009A7011" w:rsidRDefault="00C059FC" w:rsidP="00C059FC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30,133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4CD79" w14:textId="6736E230" w:rsidR="00C059FC" w:rsidRPr="009A7011" w:rsidRDefault="00C059FC" w:rsidP="00C059FC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91%</w:t>
            </w:r>
          </w:p>
        </w:tc>
      </w:tr>
    </w:tbl>
    <w:p w14:paraId="3714166F" w14:textId="1BFF92C1" w:rsidR="00884D9C" w:rsidRDefault="00884D9C"/>
    <w:p w14:paraId="1EC7C920" w14:textId="53D6E628" w:rsidR="00884D9C" w:rsidRDefault="008852C8">
      <w:pPr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  <w:r w:rsidRPr="008B5ABD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mc:AlternateContent>
          <mc:Choice Requires="wps">
            <w:drawing>
              <wp:anchor distT="91440" distB="91440" distL="114300" distR="114300" simplePos="0" relativeHeight="251676672" behindDoc="0" locked="0" layoutInCell="1" allowOverlap="1" wp14:anchorId="21DB1028" wp14:editId="339643F9">
                <wp:simplePos x="0" y="0"/>
                <wp:positionH relativeFrom="margin">
                  <wp:align>right</wp:align>
                </wp:positionH>
                <wp:positionV relativeFrom="paragraph">
                  <wp:posOffset>296057</wp:posOffset>
                </wp:positionV>
                <wp:extent cx="5943600" cy="1543050"/>
                <wp:effectExtent l="0" t="0" r="19050" b="1905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4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7F279" w14:textId="625AB4D5" w:rsidR="006A5293" w:rsidRPr="00495694" w:rsidRDefault="006A5293" w:rsidP="006A5293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Индикатори за потребе израде анализе стања и праћења достизања циљева одрживог развоја – 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планирање и извршење издатака за капиталне инвестиције</w:t>
                            </w: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5B3DE7D1" w14:textId="4B70FBF8" w:rsidR="006A5293" w:rsidRPr="00495694" w:rsidRDefault="006A5293" w:rsidP="006A5293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</w:t>
                            </w:r>
                            <w:r w:rsidR="007C41F6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Релативно учешће планираних капиталних издатака у укупном обиму планираних расхода и издатака буџета </w:t>
                            </w:r>
                            <w:r w:rsidR="001E1CA3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општине</w:t>
                            </w:r>
                            <w:r w:rsidR="007C41F6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0F33149" w14:textId="0891BA09" w:rsidR="006A5293" w:rsidRPr="00495694" w:rsidRDefault="006A5293" w:rsidP="006A5293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7C41F6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Проценат реализације капиталних издатака у односу на планирану вредност издатака за набавку нефинансијске имовине</w:t>
                            </w:r>
                          </w:p>
                          <w:p w14:paraId="3CB6C118" w14:textId="77777777" w:rsidR="006A5293" w:rsidRPr="00495694" w:rsidRDefault="006A5293" w:rsidP="006A5293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1A8E0F" w14:textId="77777777" w:rsidR="006A5293" w:rsidRPr="00495694" w:rsidRDefault="006A5293" w:rsidP="006A5293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C8B534" w14:textId="77777777" w:rsidR="006A5293" w:rsidRPr="00495694" w:rsidRDefault="006A5293" w:rsidP="006A5293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5B9BD5" w:themeColor="accent1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DC9156" w14:textId="77777777" w:rsidR="006A5293" w:rsidRPr="00495694" w:rsidRDefault="006A5293" w:rsidP="006A529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B1028" id="_x0000_s1035" type="#_x0000_t202" style="position:absolute;margin-left:416.8pt;margin-top:23.3pt;width:468pt;height:121.5pt;z-index:251676672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" fillcolor="white [3201]" strokecolor="#2f5496 [2408]" strokeweight="1pt">
                <v:textbox>
                  <w:txbxContent>
                    <w:p w14:paraId="3797F279" w14:textId="625AB4D5" w:rsidR="006A5293" w:rsidRPr="00495694" w:rsidRDefault="006A5293" w:rsidP="006A5293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Индикатори за потребе израде анализе стања и праћења достизања циљева одрживог развоја – </w:t>
                      </w:r>
                      <w:r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планирање и извршење издатака за капиталне инвестиције</w:t>
                      </w: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5B3DE7D1" w14:textId="4B70FBF8" w:rsidR="006A5293" w:rsidRPr="00495694" w:rsidRDefault="006A5293" w:rsidP="006A5293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</w:t>
                      </w:r>
                      <w:r w:rsidR="007C41F6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Релативно учешће планираних капиталних издатака у укупном обиму планираних расхода и издатака буџета </w:t>
                      </w:r>
                      <w:r w:rsidR="001E1CA3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општине</w:t>
                      </w:r>
                      <w:r w:rsidR="007C41F6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0F33149" w14:textId="0891BA09" w:rsidR="006A5293" w:rsidRPr="00495694" w:rsidRDefault="006A5293" w:rsidP="006A5293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7C41F6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Проценат реализације капиталних издатака у односу на планирану вредност издатака за набавку нефинансијске имовине</w:t>
                      </w:r>
                    </w:p>
                    <w:p w14:paraId="3CB6C118" w14:textId="77777777" w:rsidR="006A5293" w:rsidRPr="00495694" w:rsidRDefault="006A5293" w:rsidP="006A5293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1A8E0F" w14:textId="77777777" w:rsidR="006A5293" w:rsidRPr="00495694" w:rsidRDefault="006A5293" w:rsidP="006A5293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C8B534" w14:textId="77777777" w:rsidR="006A5293" w:rsidRPr="00495694" w:rsidRDefault="006A5293" w:rsidP="006A5293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5B9BD5" w:themeColor="accent1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DC9156" w14:textId="77777777" w:rsidR="006A5293" w:rsidRPr="00495694" w:rsidRDefault="006A5293" w:rsidP="006A529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84D9C" w:rsidRPr="00884D9C">
        <w:rPr>
          <w:rFonts w:ascii="Tahoma" w:hAnsi="Tahoma" w:cs="Tahoma"/>
          <w:sz w:val="18"/>
          <w:szCs w:val="18"/>
          <w:lang w:val="sr-Cyrl-RS"/>
        </w:rPr>
        <w:t>Извор:</w:t>
      </w:r>
      <w:r w:rsidR="00884D9C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884D9C"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Одлуке о </w:t>
      </w:r>
      <w:r w:rsidR="00884D9C">
        <w:rPr>
          <w:rFonts w:ascii="Tahoma" w:hAnsi="Tahoma" w:cs="Tahoma"/>
          <w:bCs/>
          <w:iCs/>
          <w:noProof/>
          <w:sz w:val="18"/>
          <w:szCs w:val="18"/>
          <w:lang w:val="sr-Cyrl-RS"/>
        </w:rPr>
        <w:t>завршним рачунима</w:t>
      </w:r>
      <w:r w:rsidR="00884D9C"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буџета </w:t>
      </w:r>
      <w:r w:rsidR="00884D9C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општине </w:t>
      </w:r>
      <w:r w:rsidR="00C059FC">
        <w:rPr>
          <w:rFonts w:ascii="Tahoma" w:hAnsi="Tahoma" w:cs="Tahoma"/>
          <w:bCs/>
          <w:iCs/>
          <w:noProof/>
          <w:sz w:val="18"/>
          <w:szCs w:val="18"/>
          <w:lang w:val="sr-Cyrl-RS"/>
        </w:rPr>
        <w:t>Смедеревска Паланка</w:t>
      </w:r>
      <w:r w:rsidR="00884D9C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</w:t>
      </w:r>
      <w:r w:rsidR="00884D9C"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>2019-2021</w:t>
      </w:r>
    </w:p>
    <w:p w14:paraId="1AC33B63" w14:textId="77777777" w:rsidR="00CF109C" w:rsidRDefault="00CF109C">
      <w:pPr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</w:p>
    <w:p w14:paraId="35135B4F" w14:textId="77777777" w:rsidR="00CF109C" w:rsidRPr="00884D9C" w:rsidRDefault="00CF109C">
      <w:pPr>
        <w:rPr>
          <w:rFonts w:ascii="Tahoma" w:hAnsi="Tahoma" w:cs="Tahoma"/>
          <w:sz w:val="22"/>
          <w:szCs w:val="22"/>
          <w:lang w:val="sr-Cyrl-RS"/>
        </w:rPr>
      </w:pPr>
    </w:p>
    <w:p w14:paraId="22711A8F" w14:textId="4AD7EBEA" w:rsidR="003235DF" w:rsidRDefault="003235DF" w:rsidP="003235DF">
      <w:pPr>
        <w:spacing w:after="120"/>
        <w:jc w:val="both"/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</w:pPr>
      <w:bookmarkStart w:id="2" w:name="_Toc68946205"/>
      <w:r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>6</w:t>
      </w:r>
      <w:r w:rsidRPr="005241B1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 xml:space="preserve">. </w:t>
      </w:r>
      <w:r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 xml:space="preserve">Оцена потенцијала буџета </w:t>
      </w:r>
      <w:r w:rsidR="00CD490A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 xml:space="preserve">општине </w:t>
      </w:r>
      <w:r w:rsidR="000912A5"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>Смедеревска Паланка</w:t>
      </w:r>
      <w:r>
        <w:rPr>
          <w:rStyle w:val="Heading1Char"/>
          <w:rFonts w:ascii="Tahoma" w:hAnsi="Tahoma" w:cs="Tahoma"/>
          <w:b/>
          <w:bCs/>
          <w:sz w:val="28"/>
          <w:szCs w:val="28"/>
          <w:lang w:val="sr-Cyrl-RS"/>
        </w:rPr>
        <w:t xml:space="preserve"> за финансирање капиталних инвестиција и оцена кредитног потенцијала</w:t>
      </w:r>
    </w:p>
    <w:bookmarkEnd w:id="2"/>
    <w:p w14:paraId="52186B30" w14:textId="2B19D68B" w:rsidR="006B3EC3" w:rsidRDefault="006B3EC3" w:rsidP="006B3EC3">
      <w:pPr>
        <w:spacing w:after="120"/>
        <w:jc w:val="both"/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</w:pPr>
    </w:p>
    <w:p w14:paraId="3FC23C1D" w14:textId="31F73EAB" w:rsidR="00B22320" w:rsidRPr="00B22320" w:rsidRDefault="00C73EAC" w:rsidP="0073419D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</w:pPr>
      <w:r w:rsidRPr="00C73EAC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Потенцијал буџета </w:t>
      </w:r>
      <w:r w:rsidR="00DB5C9C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општине </w:t>
      </w:r>
      <w:r w:rsidR="000912A5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Смедеревска Паланка</w:t>
      </w:r>
      <w:r w:rsidRPr="00C73EAC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 за финансирање капиталних издатака је на задовољавајућем нивоу</w:t>
      </w:r>
      <w:r w:rsidR="001C38A7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 и </w:t>
      </w:r>
      <w:r w:rsidR="00AC22D1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показује</w:t>
      </w:r>
      <w:r w:rsidR="001C38A7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 благи</w:t>
      </w:r>
      <w:r w:rsidR="00AC22D1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 </w:t>
      </w:r>
      <w:r w:rsidR="001C38A7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узлазни</w:t>
      </w:r>
      <w:r w:rsidR="00AC22D1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 тренд расположивости</w:t>
      </w:r>
      <w:r w:rsidRPr="00C73EAC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.</w:t>
      </w:r>
      <w:r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Pr="00C73EA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Процена</w:t>
      </w:r>
      <w:r w:rsidR="0044117A" w:rsidRPr="00C73EA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могућности, односно</w:t>
      </w:r>
      <w:r w:rsidRPr="00C73EA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утврђивање</w:t>
      </w:r>
      <w:r w:rsidR="0044117A" w:rsidRPr="00C73EA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капацит</w:t>
      </w:r>
      <w:r w:rsidRPr="00C73EA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ета</w:t>
      </w:r>
      <w:r w:rsidR="0044117A" w:rsidRPr="00C73EA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буџета </w:t>
      </w:r>
      <w:r w:rsidR="001E1CA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општине</w:t>
      </w:r>
      <w:r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, се</w:t>
      </w:r>
      <w:r w:rsidR="00636693" w:rsidRPr="00C73EA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Pr="00C73EA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мери кроз</w:t>
      </w:r>
      <w:r w:rsidR="0044117A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остварене приходе </w:t>
      </w:r>
      <w:r w:rsidR="00CE1CD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општине</w:t>
      </w:r>
      <w:r w:rsidR="0044117A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у посматраном периоду без трансферних прихода и реализован</w:t>
      </w:r>
      <w:r w:rsidR="00593C77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их</w:t>
      </w:r>
      <w:r w:rsidR="0044117A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капиталн</w:t>
      </w:r>
      <w:r w:rsidR="00593C77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их</w:t>
      </w:r>
      <w:r w:rsidR="0044117A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пројек</w:t>
      </w:r>
      <w:r w:rsidR="00593C77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а</w:t>
      </w:r>
      <w:r w:rsidR="0044117A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т</w:t>
      </w:r>
      <w:r w:rsidR="00593C77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а</w:t>
      </w:r>
      <w:r w:rsidR="0044117A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из буџетских изворних и уступљених прихода. Према овој анализи </w:t>
      </w:r>
      <w:r w:rsidR="00CE1CD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општински</w:t>
      </w:r>
      <w:r w:rsidR="0044117A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буџет је у претходном периоду из својих средстава, у потпуности или кроз начин суфинансирања са другим финансијерима, реализовао капиталне издатке у представљеним вредностима и процентима у односу на своје приходе.</w:t>
      </w:r>
      <w:r w:rsidR="00B22320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Судећи према задњој колони табеле за оцену потенцијала буџета </w:t>
      </w:r>
      <w:r w:rsidR="00CE1CD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општине</w:t>
      </w:r>
      <w:r w:rsidR="00B22320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, </w:t>
      </w:r>
      <w:r w:rsidR="00CE1CD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проценат реализације капиталних издатака из буџетских извора без трансферних средстава је избалансиран у анализираном периоду</w:t>
      </w:r>
      <w:r w:rsidR="00461AC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(показује </w:t>
      </w:r>
      <w:r w:rsidR="0029660E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узлазни</w:t>
      </w:r>
      <w:r w:rsidR="00461AC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тренд)</w:t>
      </w:r>
      <w:r w:rsidR="00CE1CD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. </w:t>
      </w:r>
    </w:p>
    <w:p w14:paraId="3517BE66" w14:textId="3D4F65D9" w:rsidR="0044117A" w:rsidRPr="00636693" w:rsidRDefault="0044117A" w:rsidP="00FA547A">
      <w:pPr>
        <w:suppressAutoHyphens w:val="0"/>
        <w:spacing w:after="120"/>
        <w:jc w:val="both"/>
        <w:rPr>
          <w:rFonts w:ascii="Tahoma" w:eastAsia="Times New Roman" w:hAnsi="Tahoma" w:cs="Tahoma"/>
          <w:bCs/>
          <w:noProof/>
          <w:color w:val="auto"/>
          <w:lang w:val="sr-Cyrl-RS"/>
        </w:rPr>
      </w:pPr>
      <w:r w:rsidRPr="00F82A7F"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  <w:t xml:space="preserve">Табела бр. </w:t>
      </w:r>
      <w:r w:rsidR="00636693"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  <w:t>11</w:t>
      </w:r>
      <w:r w:rsidRPr="00F82A7F"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  <w:t xml:space="preserve">. </w:t>
      </w:r>
      <w:r w:rsidRPr="00636693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 xml:space="preserve">Приказ реализације капиталног дела буџета </w:t>
      </w:r>
      <w:r w:rsidR="00DB5C9C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 xml:space="preserve">општине </w:t>
      </w:r>
      <w:r w:rsidR="001C38A7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>Смедеревска Паланка</w:t>
      </w:r>
      <w:r w:rsidRPr="00636693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 xml:space="preserve"> из изворних и уступљених прихода буџета </w:t>
      </w:r>
    </w:p>
    <w:tbl>
      <w:tblPr>
        <w:tblW w:w="9596" w:type="dxa"/>
        <w:tblLook w:val="04A0" w:firstRow="1" w:lastRow="0" w:firstColumn="1" w:lastColumn="0" w:noHBand="0" w:noVBand="1"/>
      </w:tblPr>
      <w:tblGrid>
        <w:gridCol w:w="2000"/>
        <w:gridCol w:w="2320"/>
        <w:gridCol w:w="2610"/>
        <w:gridCol w:w="2430"/>
        <w:gridCol w:w="236"/>
      </w:tblGrid>
      <w:tr w:rsidR="00C024AC" w:rsidRPr="00C024AC" w14:paraId="5F03790D" w14:textId="77777777" w:rsidTr="00C024AC">
        <w:trPr>
          <w:gridAfter w:val="1"/>
          <w:wAfter w:w="236" w:type="dxa"/>
          <w:trHeight w:val="2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E1A7" w14:textId="77777777" w:rsidR="00C024AC" w:rsidRPr="00C024AC" w:rsidRDefault="00C024AC" w:rsidP="00C024AC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738D" w14:textId="77777777" w:rsidR="00C024AC" w:rsidRPr="00C024AC" w:rsidRDefault="00C024AC" w:rsidP="00C024AC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9E52" w14:textId="77777777" w:rsidR="00C024AC" w:rsidRPr="00C024AC" w:rsidRDefault="00C024AC" w:rsidP="00C024AC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8F2D" w14:textId="77777777" w:rsidR="00C024AC" w:rsidRPr="00C024AC" w:rsidRDefault="00C024AC" w:rsidP="00C024AC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C024AC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 000 динара</w:t>
            </w:r>
          </w:p>
        </w:tc>
      </w:tr>
      <w:tr w:rsidR="00C024AC" w:rsidRPr="00C024AC" w14:paraId="47CFD115" w14:textId="77777777" w:rsidTr="00C024AC">
        <w:trPr>
          <w:gridAfter w:val="1"/>
          <w:wAfter w:w="236" w:type="dxa"/>
          <w:trHeight w:val="165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E699" w:fill="BDD7EE"/>
            <w:vAlign w:val="center"/>
            <w:hideMark/>
          </w:tcPr>
          <w:p w14:paraId="2347E169" w14:textId="77777777" w:rsidR="00C024AC" w:rsidRPr="00C024AC" w:rsidRDefault="00C024AC" w:rsidP="00C024AC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C024AC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Године буџета</w:t>
            </w:r>
          </w:p>
        </w:tc>
        <w:tc>
          <w:tcPr>
            <w:tcW w:w="2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E699" w:fill="BDD7EE"/>
            <w:vAlign w:val="center"/>
            <w:hideMark/>
          </w:tcPr>
          <w:p w14:paraId="179F2C06" w14:textId="77777777" w:rsidR="00C024AC" w:rsidRPr="00C024AC" w:rsidRDefault="00C024AC" w:rsidP="00C024AC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C024AC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Остварени изворни и уступљени приходи општине (без трансферних)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E699" w:fill="BDD7EE"/>
            <w:vAlign w:val="center"/>
            <w:hideMark/>
          </w:tcPr>
          <w:p w14:paraId="5068A278" w14:textId="77777777" w:rsidR="00C024AC" w:rsidRPr="00C024AC" w:rsidRDefault="00C024AC" w:rsidP="00C024AC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C024AC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Реализовани обим расхода за капиталне издатке финансираних из буџетских извора - 01</w:t>
            </w: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E699" w:fill="BDD7EE"/>
            <w:vAlign w:val="center"/>
            <w:hideMark/>
          </w:tcPr>
          <w:p w14:paraId="592DA996" w14:textId="77777777" w:rsidR="00C024AC" w:rsidRPr="00C024AC" w:rsidRDefault="00C024AC" w:rsidP="00C024AC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C024AC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Проценат реализације капиталних издатака буџетских извора (без трансферних сред.)</w:t>
            </w:r>
          </w:p>
        </w:tc>
      </w:tr>
      <w:tr w:rsidR="00C024AC" w:rsidRPr="00C024AC" w14:paraId="638C2282" w14:textId="77777777" w:rsidTr="00C024AC">
        <w:trPr>
          <w:trHeight w:val="75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4FA8F" w14:textId="77777777" w:rsidR="00C024AC" w:rsidRPr="00C024AC" w:rsidRDefault="00C024AC" w:rsidP="00C024AC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2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CF0F5" w14:textId="77777777" w:rsidR="00C024AC" w:rsidRPr="00C024AC" w:rsidRDefault="00C024AC" w:rsidP="00C024AC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49289" w14:textId="77777777" w:rsidR="00C024AC" w:rsidRPr="00C024AC" w:rsidRDefault="00C024AC" w:rsidP="00C024AC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68010" w14:textId="77777777" w:rsidR="00C024AC" w:rsidRPr="00C024AC" w:rsidRDefault="00C024AC" w:rsidP="00C024AC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CE0A" w14:textId="77777777" w:rsidR="00C024AC" w:rsidRPr="00C024AC" w:rsidRDefault="00C024AC" w:rsidP="00C024AC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</w:tr>
      <w:tr w:rsidR="00C44024" w:rsidRPr="00C024AC" w14:paraId="33ED2058" w14:textId="77777777" w:rsidTr="00C024AC">
        <w:trPr>
          <w:trHeight w:val="27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4BD01" w14:textId="77777777" w:rsidR="00C44024" w:rsidRPr="00C024AC" w:rsidRDefault="00C44024" w:rsidP="00C44024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C024AC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2019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98CB" w14:textId="0821BCD1" w:rsidR="00C44024" w:rsidRPr="00C024AC" w:rsidRDefault="00C44024" w:rsidP="00C4402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801,948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297DE2" w14:textId="1273DED5" w:rsidR="00C44024" w:rsidRPr="00C024AC" w:rsidRDefault="00C44024" w:rsidP="00C4402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36,084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F34A5" w14:textId="4582428A" w:rsidR="00C44024" w:rsidRPr="00C024AC" w:rsidRDefault="00C44024" w:rsidP="00C4402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4.50%</w:t>
            </w:r>
          </w:p>
        </w:tc>
        <w:tc>
          <w:tcPr>
            <w:tcW w:w="236" w:type="dxa"/>
            <w:vAlign w:val="center"/>
            <w:hideMark/>
          </w:tcPr>
          <w:p w14:paraId="09238D37" w14:textId="77777777" w:rsidR="00C44024" w:rsidRPr="00C024AC" w:rsidRDefault="00C44024" w:rsidP="00C44024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C44024" w:rsidRPr="00C024AC" w14:paraId="56C56144" w14:textId="77777777" w:rsidTr="00C024AC">
        <w:trPr>
          <w:trHeight w:val="228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E8DA3" w14:textId="77777777" w:rsidR="00C44024" w:rsidRPr="00C024AC" w:rsidRDefault="00C44024" w:rsidP="00C44024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C024AC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2020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C6C80" w14:textId="6B44E352" w:rsidR="00C44024" w:rsidRPr="00C024AC" w:rsidRDefault="00C44024" w:rsidP="00C4402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767,872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2C83" w14:textId="2439555E" w:rsidR="00C44024" w:rsidRPr="00C024AC" w:rsidRDefault="00C44024" w:rsidP="00C4402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36,558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77867" w14:textId="1F889622" w:rsidR="00C44024" w:rsidRPr="00C024AC" w:rsidRDefault="00C44024" w:rsidP="00C4402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4.76%</w:t>
            </w:r>
          </w:p>
        </w:tc>
        <w:tc>
          <w:tcPr>
            <w:tcW w:w="236" w:type="dxa"/>
            <w:vAlign w:val="center"/>
            <w:hideMark/>
          </w:tcPr>
          <w:p w14:paraId="7DB2FDF3" w14:textId="77777777" w:rsidR="00C44024" w:rsidRPr="00C024AC" w:rsidRDefault="00C44024" w:rsidP="00C44024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C44024" w:rsidRPr="00C024AC" w14:paraId="21BC1EFE" w14:textId="77777777" w:rsidTr="00C024AC">
        <w:trPr>
          <w:trHeight w:val="228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14FA2" w14:textId="77777777" w:rsidR="00C44024" w:rsidRPr="00C024AC" w:rsidRDefault="00C44024" w:rsidP="00C44024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C024AC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2021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8E334" w14:textId="19A6E5D6" w:rsidR="00C44024" w:rsidRPr="00C024AC" w:rsidRDefault="00C44024" w:rsidP="00C4402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960,606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1045B" w14:textId="54BD3F02" w:rsidR="00C44024" w:rsidRPr="00C024AC" w:rsidRDefault="00C44024" w:rsidP="00C4402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76,456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D0CEF4" w14:textId="24562976" w:rsidR="00C44024" w:rsidRPr="00C024AC" w:rsidRDefault="00C44024" w:rsidP="00C44024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7.96%</w:t>
            </w:r>
          </w:p>
        </w:tc>
        <w:tc>
          <w:tcPr>
            <w:tcW w:w="236" w:type="dxa"/>
            <w:vAlign w:val="center"/>
            <w:hideMark/>
          </w:tcPr>
          <w:p w14:paraId="00A053D1" w14:textId="77777777" w:rsidR="00C44024" w:rsidRPr="00C024AC" w:rsidRDefault="00C44024" w:rsidP="00C44024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6A5DD1AE" w14:textId="77777777" w:rsidR="00BA179A" w:rsidRDefault="00BA179A" w:rsidP="00BA179A">
      <w:pPr>
        <w:spacing w:after="120"/>
        <w:jc w:val="both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</w:p>
    <w:p w14:paraId="31733307" w14:textId="0F1A74F9" w:rsidR="00BA179A" w:rsidRDefault="00BA179A" w:rsidP="00BA179A">
      <w:pPr>
        <w:spacing w:after="120"/>
        <w:jc w:val="both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  <w:r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Извор: Одлуке о </w:t>
      </w:r>
      <w:r>
        <w:rPr>
          <w:rFonts w:ascii="Tahoma" w:hAnsi="Tahoma" w:cs="Tahoma"/>
          <w:bCs/>
          <w:iCs/>
          <w:noProof/>
          <w:sz w:val="18"/>
          <w:szCs w:val="18"/>
          <w:lang w:val="sr-Cyrl-RS"/>
        </w:rPr>
        <w:t>завршним рачунима</w:t>
      </w:r>
      <w:r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буџета </w:t>
      </w:r>
      <w:r w:rsidR="00DB5C9C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општине </w:t>
      </w:r>
      <w:r w:rsidR="0026238E">
        <w:rPr>
          <w:rFonts w:ascii="Tahoma" w:hAnsi="Tahoma" w:cs="Tahoma"/>
          <w:bCs/>
          <w:iCs/>
          <w:noProof/>
          <w:sz w:val="18"/>
          <w:szCs w:val="18"/>
          <w:lang w:val="sr-Cyrl-RS"/>
        </w:rPr>
        <w:t>С</w:t>
      </w:r>
      <w:r w:rsidR="001C38A7">
        <w:rPr>
          <w:rFonts w:ascii="Tahoma" w:hAnsi="Tahoma" w:cs="Tahoma"/>
          <w:bCs/>
          <w:iCs/>
          <w:noProof/>
          <w:sz w:val="18"/>
          <w:szCs w:val="18"/>
          <w:lang w:val="sr-Cyrl-RS"/>
        </w:rPr>
        <w:t>медеревска Паланка</w:t>
      </w:r>
      <w:r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2019-2021</w:t>
      </w:r>
      <w:r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- прорачун</w:t>
      </w:r>
    </w:p>
    <w:p w14:paraId="67DF618D" w14:textId="77777777" w:rsidR="00BA179A" w:rsidRPr="00F82A7F" w:rsidRDefault="00BA179A" w:rsidP="00FA547A">
      <w:pPr>
        <w:spacing w:after="120"/>
        <w:jc w:val="both"/>
        <w:rPr>
          <w:rFonts w:ascii="Tahoma" w:hAnsi="Tahoma" w:cs="Tahoma"/>
          <w:iCs/>
        </w:rPr>
      </w:pPr>
    </w:p>
    <w:p w14:paraId="14FEAC22" w14:textId="449230C0" w:rsidR="00076811" w:rsidRPr="006D0356" w:rsidRDefault="00D251DA" w:rsidP="0073419D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</w:pPr>
      <w:r w:rsidRPr="00C73EA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Дубља анализа остварених прихода буџета </w:t>
      </w:r>
      <w:r w:rsidR="00B0147B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општине</w:t>
      </w:r>
      <w:r w:rsidRPr="00C73EA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, без капиталних наменских трансфера дата</w:t>
      </w:r>
      <w:r w:rsidRPr="00456D21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је у доњем табеларном приказу (табела бр. </w:t>
      </w:r>
      <w:r w:rsidR="00BB73E5" w:rsidRPr="00456D21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12</w:t>
      </w:r>
      <w:r w:rsidRPr="00456D21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.) и указује на расположиве могућности локалног буџета за финансирање или суфинансирање </w:t>
      </w:r>
      <w:r w:rsidR="00C42F67" w:rsidRPr="00456D21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капиталних инвестиционих издатака</w:t>
      </w:r>
      <w:r w:rsidR="00456D21" w:rsidRPr="00456D21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456D21" w:rsidRPr="00EB5F2E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 xml:space="preserve">у распону од </w:t>
      </w:r>
      <w:r w:rsidR="00AE099C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>-</w:t>
      </w:r>
      <w:r w:rsidR="00365805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>0,47</w:t>
      </w:r>
      <w:r w:rsidR="00456D21" w:rsidRPr="00EB5F2E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 xml:space="preserve">% до </w:t>
      </w:r>
      <w:r w:rsidR="00365805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>-</w:t>
      </w:r>
      <w:r w:rsidR="00874CB9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>4,87</w:t>
      </w:r>
      <w:r w:rsidR="00456D21" w:rsidRPr="00EB5F2E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>% у</w:t>
      </w:r>
      <w:r w:rsidR="00456D21" w:rsidRPr="00456D21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 xml:space="preserve"> односу на расположиве приходе буџета </w:t>
      </w:r>
      <w:r w:rsidR="003D34EF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>општине</w:t>
      </w:r>
      <w:r w:rsidR="006E47EE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 xml:space="preserve"> (што означава да у </w:t>
      </w:r>
      <w:r w:rsidR="00874CB9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>анализираним годинама</w:t>
      </w:r>
      <w:r w:rsidR="006E47EE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 xml:space="preserve"> општини нису били доступни сопствени извори за финансирање капиталних пројеката)</w:t>
      </w:r>
      <w:r w:rsidR="00456D21" w:rsidRPr="00456D21">
        <w:rPr>
          <w:rFonts w:ascii="Tahoma" w:eastAsia="Calibri" w:hAnsi="Tahoma" w:cs="Tahoma"/>
          <w:iCs/>
          <w:noProof/>
          <w:sz w:val="22"/>
          <w:szCs w:val="22"/>
          <w:lang w:val="sr-Cyrl-RS"/>
        </w:rPr>
        <w:t xml:space="preserve">. </w:t>
      </w:r>
      <w:r w:rsidRPr="00456D21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076811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Према </w:t>
      </w:r>
      <w:r w:rsidR="002B32E7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доступним</w:t>
      </w:r>
      <w:r w:rsidR="00076811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информацијама, </w:t>
      </w:r>
      <w:r w:rsidR="002323A9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стање</w:t>
      </w:r>
      <w:r w:rsidR="00142F57" w:rsidRPr="004D423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недоспелог неизмиреног дуга</w:t>
      </w:r>
      <w:r w:rsidR="009E15D2" w:rsidRPr="004D423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по дугорочн</w:t>
      </w:r>
      <w:r w:rsidR="002323A9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ом</w:t>
      </w:r>
      <w:r w:rsidR="009E15D2" w:rsidRPr="004D423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кредит</w:t>
      </w:r>
      <w:r w:rsidR="002323A9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у</w:t>
      </w:r>
      <w:r w:rsidR="004D423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9E15D2" w:rsidRPr="004D423A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за финансирање капиталних инвестиција</w:t>
      </w:r>
      <w:r w:rsidR="00F33EFD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на дан 31.12.2021. године износи </w:t>
      </w:r>
      <w:r w:rsidR="00D72439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0,00</w:t>
      </w:r>
      <w:r w:rsidR="00F33EFD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динара</w:t>
      </w:r>
      <w:r w:rsidR="009E15D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, </w:t>
      </w:r>
      <w:r w:rsidR="009E15D2" w:rsidRPr="006D0356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те</w:t>
      </w:r>
      <w:r w:rsidR="00142F57" w:rsidRPr="006D0356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593C77" w:rsidRPr="006D0356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вредност</w:t>
      </w:r>
      <w:r w:rsidR="009E15D2" w:rsidRPr="006D0356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слободних средстава за капиталне издатке</w:t>
      </w:r>
      <w:r w:rsidR="00142F57" w:rsidRPr="006D0356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у будућем периоду</w:t>
      </w:r>
      <w:r w:rsidR="00593C77" w:rsidRPr="006D0356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D72439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није </w:t>
      </w:r>
      <w:r w:rsidR="008A7973" w:rsidRPr="006D0356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потребно</w:t>
      </w:r>
      <w:r w:rsidR="00593C77" w:rsidRPr="006D0356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смањити са </w:t>
      </w:r>
      <w:r w:rsidR="008A7973" w:rsidRPr="006D0356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обавезама отплате ануитета у наредном периоду. </w:t>
      </w:r>
    </w:p>
    <w:p w14:paraId="4A043641" w14:textId="194E579F" w:rsidR="00FE166D" w:rsidRDefault="00D251DA" w:rsidP="00BA179A">
      <w:pPr>
        <w:suppressAutoHyphens w:val="0"/>
        <w:spacing w:after="120"/>
        <w:jc w:val="both"/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</w:pPr>
      <w:r w:rsidRPr="00F82A7F"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  <w:t xml:space="preserve">Табела бр. </w:t>
      </w:r>
      <w:r w:rsidR="00BB73E5"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  <w:t>12</w:t>
      </w:r>
      <w:r w:rsidRPr="00F82A7F"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  <w:t xml:space="preserve">.  </w:t>
      </w:r>
      <w:r w:rsidRPr="00BA179A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 xml:space="preserve">Приказ расположивих могућности финансирања капиталних инвестиционих расхода из буџета </w:t>
      </w:r>
      <w:r w:rsidR="003D34EF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 xml:space="preserve">општине </w:t>
      </w:r>
      <w:r w:rsidR="0029660E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>Смедеревска Паланка</w:t>
      </w:r>
    </w:p>
    <w:tbl>
      <w:tblPr>
        <w:tblW w:w="10731" w:type="dxa"/>
        <w:tblInd w:w="-540" w:type="dxa"/>
        <w:tblLook w:val="04A0" w:firstRow="1" w:lastRow="0" w:firstColumn="1" w:lastColumn="0" w:noHBand="0" w:noVBand="1"/>
      </w:tblPr>
      <w:tblGrid>
        <w:gridCol w:w="1440"/>
        <w:gridCol w:w="1800"/>
        <w:gridCol w:w="1710"/>
        <w:gridCol w:w="1980"/>
        <w:gridCol w:w="1890"/>
        <w:gridCol w:w="1689"/>
        <w:gridCol w:w="222"/>
      </w:tblGrid>
      <w:tr w:rsidR="00D539EA" w:rsidRPr="00D539EA" w14:paraId="757619A6" w14:textId="77777777" w:rsidTr="00D539EA">
        <w:trPr>
          <w:gridAfter w:val="1"/>
          <w:wAfter w:w="222" w:type="dxa"/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5D46" w14:textId="77777777" w:rsidR="00D539EA" w:rsidRPr="00D539EA" w:rsidRDefault="00D539EA" w:rsidP="00D539EA">
            <w:pPr>
              <w:suppressAutoHyphens w:val="0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F602" w14:textId="77777777" w:rsidR="00D539EA" w:rsidRPr="00D539EA" w:rsidRDefault="00D539EA" w:rsidP="00D539EA">
            <w:pPr>
              <w:suppressAutoHyphens w:val="0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91AE" w14:textId="77777777" w:rsidR="00D539EA" w:rsidRPr="00D539EA" w:rsidRDefault="00D539EA" w:rsidP="00D539EA">
            <w:pPr>
              <w:suppressAutoHyphens w:val="0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89B7" w14:textId="77777777" w:rsidR="00D539EA" w:rsidRPr="00D539EA" w:rsidRDefault="00D539EA" w:rsidP="00D539EA">
            <w:pPr>
              <w:suppressAutoHyphens w:val="0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1296" w14:textId="77777777" w:rsidR="00D539EA" w:rsidRPr="00D539EA" w:rsidRDefault="00D539EA" w:rsidP="00D539EA">
            <w:pPr>
              <w:suppressAutoHyphens w:val="0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EDEA" w14:textId="77777777" w:rsidR="00D539EA" w:rsidRPr="00D539EA" w:rsidRDefault="00D539EA" w:rsidP="00D539EA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D539EA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 000 динара</w:t>
            </w:r>
          </w:p>
        </w:tc>
      </w:tr>
      <w:tr w:rsidR="00D539EA" w:rsidRPr="00D539EA" w14:paraId="1ECCB2A1" w14:textId="77777777" w:rsidTr="00D539EA">
        <w:trPr>
          <w:gridAfter w:val="1"/>
          <w:wAfter w:w="222" w:type="dxa"/>
          <w:trHeight w:val="337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E699" w:fill="BDD7EE"/>
            <w:vAlign w:val="center"/>
            <w:hideMark/>
          </w:tcPr>
          <w:p w14:paraId="4EC2E7DF" w14:textId="77777777" w:rsidR="00D539EA" w:rsidRPr="00D539EA" w:rsidRDefault="00D539EA" w:rsidP="00D539EA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D539EA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Година буџета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E699" w:fill="BDD7EE"/>
            <w:vAlign w:val="center"/>
            <w:hideMark/>
          </w:tcPr>
          <w:p w14:paraId="26462583" w14:textId="77777777" w:rsidR="00D539EA" w:rsidRPr="00D539EA" w:rsidRDefault="00D539EA" w:rsidP="00D539EA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D539EA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Реализовани укупан обим буџета без наменских трансфера (приходи)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E699" w:fill="BDD7EE"/>
            <w:vAlign w:val="center"/>
            <w:hideMark/>
          </w:tcPr>
          <w:p w14:paraId="6C19E1B6" w14:textId="77777777" w:rsidR="00D539EA" w:rsidRPr="00D539EA" w:rsidRDefault="00D539EA" w:rsidP="00D539EA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D539EA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Реализовани обим расхода (класа 4)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E699" w:fill="BDD7EE"/>
            <w:vAlign w:val="center"/>
            <w:hideMark/>
          </w:tcPr>
          <w:p w14:paraId="37F4FC21" w14:textId="77777777" w:rsidR="00D539EA" w:rsidRPr="00D539EA" w:rsidRDefault="00D539EA" w:rsidP="00D539EA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D539EA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Реализовани обим расхода (издаци за набавку нефинансијске имовине - класа 5)-извор 01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E699" w:fill="BDD7EE"/>
            <w:vAlign w:val="center"/>
            <w:hideMark/>
          </w:tcPr>
          <w:p w14:paraId="4C793EF3" w14:textId="77777777" w:rsidR="00D539EA" w:rsidRPr="00D539EA" w:rsidRDefault="00D539EA" w:rsidP="00D539EA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D539EA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Вредност слободних средстава за капиталне издатке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E699" w:fill="BDD7EE"/>
            <w:vAlign w:val="center"/>
            <w:hideMark/>
          </w:tcPr>
          <w:p w14:paraId="6270DC9F" w14:textId="77777777" w:rsidR="00D539EA" w:rsidRPr="00D539EA" w:rsidRDefault="00D539EA" w:rsidP="00D539EA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D539EA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Проценат слободних средстава за капиталне издатке у односу на реализовани обим буџета без наменских трансфера</w:t>
            </w:r>
          </w:p>
        </w:tc>
      </w:tr>
      <w:tr w:rsidR="00D539EA" w:rsidRPr="00D539EA" w14:paraId="440F1EC0" w14:textId="77777777" w:rsidTr="00D539EA">
        <w:trPr>
          <w:trHeight w:val="1470"/>
        </w:trPr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D8F6C" w14:textId="77777777" w:rsidR="00D539EA" w:rsidRPr="00D539EA" w:rsidRDefault="00D539EA" w:rsidP="00D539EA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40046" w14:textId="77777777" w:rsidR="00D539EA" w:rsidRPr="00D539EA" w:rsidRDefault="00D539EA" w:rsidP="00D539EA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B2F54" w14:textId="77777777" w:rsidR="00D539EA" w:rsidRPr="00D539EA" w:rsidRDefault="00D539EA" w:rsidP="00D539EA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3A8AC" w14:textId="77777777" w:rsidR="00D539EA" w:rsidRPr="00D539EA" w:rsidRDefault="00D539EA" w:rsidP="00D539EA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A8B54" w14:textId="77777777" w:rsidR="00D539EA" w:rsidRPr="00D539EA" w:rsidRDefault="00D539EA" w:rsidP="00D539EA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AFDBE1" w14:textId="77777777" w:rsidR="00D539EA" w:rsidRPr="00D539EA" w:rsidRDefault="00D539EA" w:rsidP="00D539EA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E95A" w14:textId="77777777" w:rsidR="00D539EA" w:rsidRPr="00D539EA" w:rsidRDefault="00D539EA" w:rsidP="00D539EA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</w:tr>
      <w:tr w:rsidR="00D539EA" w:rsidRPr="00D539EA" w14:paraId="23E17291" w14:textId="77777777" w:rsidTr="00D539EA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B8BA9" w14:textId="77777777" w:rsidR="00D539EA" w:rsidRPr="00D539EA" w:rsidRDefault="00D539EA" w:rsidP="00D539EA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D539EA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9990E" w14:textId="77777777" w:rsidR="00D539EA" w:rsidRPr="00D539EA" w:rsidRDefault="00D539EA" w:rsidP="00D539EA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D539EA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16C94" w14:textId="77777777" w:rsidR="00D539EA" w:rsidRPr="00D539EA" w:rsidRDefault="00D539EA" w:rsidP="00D539EA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D539EA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F2FF9" w14:textId="77777777" w:rsidR="00D539EA" w:rsidRPr="00D539EA" w:rsidRDefault="00D539EA" w:rsidP="00D539EA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D539EA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044DE" w14:textId="77777777" w:rsidR="00D539EA" w:rsidRPr="00D539EA" w:rsidRDefault="00D539EA" w:rsidP="00D539EA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D539EA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5=2-3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EEB138" w14:textId="77777777" w:rsidR="00D539EA" w:rsidRPr="00D539EA" w:rsidRDefault="00D539EA" w:rsidP="00D539EA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D539EA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6=5/2*100</w:t>
            </w:r>
          </w:p>
        </w:tc>
        <w:tc>
          <w:tcPr>
            <w:tcW w:w="222" w:type="dxa"/>
            <w:vAlign w:val="center"/>
            <w:hideMark/>
          </w:tcPr>
          <w:p w14:paraId="13119081" w14:textId="77777777" w:rsidR="00D539EA" w:rsidRPr="00D539EA" w:rsidRDefault="00D539EA" w:rsidP="00D539EA">
            <w:pPr>
              <w:suppressAutoHyphens w:val="0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</w:p>
        </w:tc>
      </w:tr>
      <w:tr w:rsidR="00365805" w:rsidRPr="00D539EA" w14:paraId="32DA3895" w14:textId="77777777" w:rsidTr="00D539EA">
        <w:trPr>
          <w:trHeight w:val="22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4E604" w14:textId="77777777" w:rsidR="00365805" w:rsidRPr="00D539EA" w:rsidRDefault="00365805" w:rsidP="00365805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D539EA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8E9EA" w14:textId="7CEAFE2C" w:rsidR="00365805" w:rsidRPr="00D539EA" w:rsidRDefault="00365805" w:rsidP="0036580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1,094,902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29444" w14:textId="6EEBFC0B" w:rsidR="00365805" w:rsidRPr="00D539EA" w:rsidRDefault="00365805" w:rsidP="0036580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1,100,014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1EE1E1" w14:textId="712BB72A" w:rsidR="00365805" w:rsidRPr="00D539EA" w:rsidRDefault="00365805" w:rsidP="0036580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29,540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C1AE1" w14:textId="771E00B7" w:rsidR="00365805" w:rsidRPr="00D539EA" w:rsidRDefault="00365805" w:rsidP="0036580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-5,112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FEEAC" w14:textId="269FD98F" w:rsidR="00365805" w:rsidRPr="00D539EA" w:rsidRDefault="00365805" w:rsidP="0036580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-0.47%</w:t>
            </w:r>
          </w:p>
        </w:tc>
        <w:tc>
          <w:tcPr>
            <w:tcW w:w="222" w:type="dxa"/>
            <w:vAlign w:val="center"/>
            <w:hideMark/>
          </w:tcPr>
          <w:p w14:paraId="7DE41A84" w14:textId="77777777" w:rsidR="00365805" w:rsidRPr="00D539EA" w:rsidRDefault="00365805" w:rsidP="00365805">
            <w:pPr>
              <w:suppressAutoHyphens w:val="0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</w:p>
        </w:tc>
      </w:tr>
      <w:tr w:rsidR="00365805" w:rsidRPr="00D539EA" w14:paraId="3ACC446B" w14:textId="77777777" w:rsidTr="00D539EA">
        <w:trPr>
          <w:trHeight w:val="22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98511" w14:textId="77777777" w:rsidR="00365805" w:rsidRPr="00D539EA" w:rsidRDefault="00365805" w:rsidP="00365805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D539EA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2CE52" w14:textId="4A0D6C7F" w:rsidR="00365805" w:rsidRPr="00D539EA" w:rsidRDefault="00365805" w:rsidP="0036580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1,060,827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1DE0E" w14:textId="5178BCBE" w:rsidR="00365805" w:rsidRPr="00D539EA" w:rsidRDefault="00365805" w:rsidP="0036580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1,076,632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96C2" w14:textId="7BDFED7A" w:rsidR="00365805" w:rsidRPr="00D539EA" w:rsidRDefault="00365805" w:rsidP="0036580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36,558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43FE8" w14:textId="001DD8D8" w:rsidR="00365805" w:rsidRPr="00D539EA" w:rsidRDefault="00365805" w:rsidP="0036580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-15,805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4804D" w14:textId="736CF58A" w:rsidR="00365805" w:rsidRPr="00D539EA" w:rsidRDefault="00365805" w:rsidP="0036580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-1.49%</w:t>
            </w:r>
          </w:p>
        </w:tc>
        <w:tc>
          <w:tcPr>
            <w:tcW w:w="222" w:type="dxa"/>
            <w:vAlign w:val="center"/>
            <w:hideMark/>
          </w:tcPr>
          <w:p w14:paraId="69BAB55B" w14:textId="77777777" w:rsidR="00365805" w:rsidRPr="00D539EA" w:rsidRDefault="00365805" w:rsidP="00365805">
            <w:pPr>
              <w:suppressAutoHyphens w:val="0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</w:p>
        </w:tc>
      </w:tr>
      <w:tr w:rsidR="00365805" w:rsidRPr="00D539EA" w14:paraId="6D2D020E" w14:textId="77777777" w:rsidTr="00D539EA">
        <w:trPr>
          <w:trHeight w:val="22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986FA" w14:textId="77777777" w:rsidR="00365805" w:rsidRPr="00D539EA" w:rsidRDefault="00365805" w:rsidP="00365805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D539EA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BF0F2" w14:textId="53966487" w:rsidR="00365805" w:rsidRPr="00D539EA" w:rsidRDefault="00365805" w:rsidP="0036580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1,253,560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762BB" w14:textId="27FEAAA4" w:rsidR="00365805" w:rsidRPr="00D539EA" w:rsidRDefault="00365805" w:rsidP="0036580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1,314,571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392A6" w14:textId="43762EC8" w:rsidR="00365805" w:rsidRPr="00D539EA" w:rsidRDefault="00365805" w:rsidP="0036580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76,456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DC7BD" w14:textId="5C4A1C73" w:rsidR="00365805" w:rsidRPr="00D539EA" w:rsidRDefault="00365805" w:rsidP="0036580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-61,011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48AE9" w14:textId="7DB8944F" w:rsidR="00365805" w:rsidRPr="00D539EA" w:rsidRDefault="00365805" w:rsidP="00365805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-4.87%</w:t>
            </w:r>
          </w:p>
        </w:tc>
        <w:tc>
          <w:tcPr>
            <w:tcW w:w="222" w:type="dxa"/>
            <w:vAlign w:val="center"/>
            <w:hideMark/>
          </w:tcPr>
          <w:p w14:paraId="70B1B9AC" w14:textId="77777777" w:rsidR="00365805" w:rsidRPr="00D539EA" w:rsidRDefault="00365805" w:rsidP="00365805">
            <w:pPr>
              <w:suppressAutoHyphens w:val="0"/>
              <w:rPr>
                <w:rFonts w:ascii="Tahoma" w:eastAsia="Times New Roman" w:hAnsi="Tahoma" w:cs="Tahoma"/>
                <w:noProof/>
                <w:color w:val="auto"/>
                <w:sz w:val="16"/>
                <w:szCs w:val="16"/>
                <w:lang w:val="sr-Cyrl-RS"/>
              </w:rPr>
            </w:pPr>
          </w:p>
        </w:tc>
      </w:tr>
    </w:tbl>
    <w:p w14:paraId="5700C3EB" w14:textId="77777777" w:rsidR="00BA179A" w:rsidRDefault="00BA179A" w:rsidP="00BA179A">
      <w:pPr>
        <w:spacing w:after="120"/>
        <w:jc w:val="both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</w:p>
    <w:p w14:paraId="2C41EA9C" w14:textId="5D5E8EE2" w:rsidR="00BA179A" w:rsidRDefault="00BA179A" w:rsidP="00BA179A">
      <w:pPr>
        <w:spacing w:after="120"/>
        <w:jc w:val="both"/>
        <w:rPr>
          <w:rFonts w:ascii="Tahoma" w:hAnsi="Tahoma" w:cs="Tahoma"/>
          <w:bCs/>
          <w:iCs/>
          <w:noProof/>
          <w:sz w:val="18"/>
          <w:szCs w:val="18"/>
          <w:lang w:val="sr-Cyrl-RS"/>
        </w:rPr>
      </w:pPr>
      <w:r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Извор: Одлуке о </w:t>
      </w:r>
      <w:r>
        <w:rPr>
          <w:rFonts w:ascii="Tahoma" w:hAnsi="Tahoma" w:cs="Tahoma"/>
          <w:bCs/>
          <w:iCs/>
          <w:noProof/>
          <w:sz w:val="18"/>
          <w:szCs w:val="18"/>
          <w:lang w:val="sr-Cyrl-RS"/>
        </w:rPr>
        <w:t>завршним рачунима</w:t>
      </w:r>
      <w:r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буџета </w:t>
      </w:r>
      <w:r w:rsidR="003D34EF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општине </w:t>
      </w:r>
      <w:r w:rsidR="00AE099C">
        <w:rPr>
          <w:rFonts w:ascii="Tahoma" w:hAnsi="Tahoma" w:cs="Tahoma"/>
          <w:bCs/>
          <w:iCs/>
          <w:noProof/>
          <w:sz w:val="18"/>
          <w:szCs w:val="18"/>
          <w:lang w:val="sr-Cyrl-RS"/>
        </w:rPr>
        <w:t>С</w:t>
      </w:r>
      <w:r w:rsidR="00365805">
        <w:rPr>
          <w:rFonts w:ascii="Tahoma" w:hAnsi="Tahoma" w:cs="Tahoma"/>
          <w:bCs/>
          <w:iCs/>
          <w:noProof/>
          <w:sz w:val="18"/>
          <w:szCs w:val="18"/>
          <w:lang w:val="sr-Cyrl-RS"/>
        </w:rPr>
        <w:t>медеревска Паланка</w:t>
      </w:r>
      <w:r w:rsidR="00EA6657">
        <w:rPr>
          <w:rFonts w:ascii="Tahoma" w:hAnsi="Tahoma" w:cs="Tahoma"/>
          <w:bCs/>
          <w:iCs/>
          <w:noProof/>
          <w:sz w:val="18"/>
          <w:szCs w:val="18"/>
          <w:lang w:val="sr-Cyrl-RS"/>
        </w:rPr>
        <w:t xml:space="preserve"> </w:t>
      </w:r>
      <w:r w:rsidRPr="009B2121">
        <w:rPr>
          <w:rFonts w:ascii="Tahoma" w:hAnsi="Tahoma" w:cs="Tahoma"/>
          <w:bCs/>
          <w:iCs/>
          <w:noProof/>
          <w:sz w:val="18"/>
          <w:szCs w:val="18"/>
          <w:lang w:val="sr-Cyrl-RS"/>
        </w:rPr>
        <w:t>2019-2021</w:t>
      </w:r>
    </w:p>
    <w:p w14:paraId="24ED0D9A" w14:textId="77777777" w:rsidR="00FE166D" w:rsidRPr="00F82A7F" w:rsidRDefault="00FE166D" w:rsidP="00FA547A">
      <w:pPr>
        <w:spacing w:after="120"/>
        <w:jc w:val="both"/>
        <w:rPr>
          <w:rFonts w:ascii="Tahoma" w:hAnsi="Tahoma" w:cs="Tahoma"/>
          <w:iCs/>
          <w:color w:val="00000A"/>
          <w:sz w:val="22"/>
          <w:szCs w:val="22"/>
        </w:rPr>
      </w:pPr>
    </w:p>
    <w:p w14:paraId="50470B3E" w14:textId="7ED39425" w:rsidR="00E63A05" w:rsidRDefault="009E15D2" w:rsidP="00FA547A">
      <w:pPr>
        <w:pStyle w:val="NormalWeb"/>
        <w:spacing w:before="0" w:beforeAutospacing="0" w:after="120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9E15D2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У претходном, анализираном периоду </w:t>
      </w:r>
      <w:r w:rsidR="00C07D64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општина </w:t>
      </w:r>
      <w:r w:rsidR="00FD7F5E">
        <w:rPr>
          <w:rFonts w:ascii="Tahoma" w:hAnsi="Tahoma" w:cs="Tahoma"/>
          <w:b/>
          <w:bCs/>
          <w:noProof/>
          <w:sz w:val="22"/>
          <w:szCs w:val="22"/>
          <w:lang w:val="sr-Cyrl-RS"/>
        </w:rPr>
        <w:t>Смедеревска Паланка</w:t>
      </w:r>
      <w:r w:rsidRPr="009E15D2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</w:t>
      </w:r>
      <w:r w:rsidR="00FD7F5E">
        <w:rPr>
          <w:rFonts w:ascii="Tahoma" w:hAnsi="Tahoma" w:cs="Tahoma"/>
          <w:b/>
          <w:bCs/>
          <w:noProof/>
          <w:sz w:val="22"/>
          <w:szCs w:val="22"/>
          <w:lang w:val="sr-Cyrl-RS"/>
        </w:rPr>
        <w:t>ни</w:t>
      </w:r>
      <w:r w:rsidR="00B41B02">
        <w:rPr>
          <w:rFonts w:ascii="Tahoma" w:hAnsi="Tahoma" w:cs="Tahoma"/>
          <w:b/>
          <w:bCs/>
          <w:noProof/>
          <w:sz w:val="22"/>
          <w:szCs w:val="22"/>
          <w:lang w:val="sr-Cyrl-RS"/>
        </w:rPr>
        <w:t>је користила кредитне изворе за финансирање капиталних инвестиција</w:t>
      </w:r>
      <w:r w:rsidR="00AA074D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. </w:t>
      </w:r>
      <w:r w:rsidR="00C07D64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</w:t>
      </w:r>
      <w:r w:rsidR="008F56EC" w:rsidRPr="009E15D2">
        <w:rPr>
          <w:rFonts w:ascii="Tahoma" w:hAnsi="Tahoma" w:cs="Tahoma"/>
          <w:noProof/>
          <w:sz w:val="22"/>
          <w:szCs w:val="22"/>
          <w:lang w:val="sr-Latn-RS"/>
        </w:rPr>
        <w:t xml:space="preserve">Када је реч о кредитном потенцијалу </w:t>
      </w:r>
      <w:r w:rsidR="00C07D64">
        <w:rPr>
          <w:rFonts w:ascii="Tahoma" w:hAnsi="Tahoma" w:cs="Tahoma"/>
          <w:noProof/>
          <w:sz w:val="22"/>
          <w:szCs w:val="22"/>
          <w:lang w:val="sr-Cyrl-RS"/>
        </w:rPr>
        <w:t xml:space="preserve">општине </w:t>
      </w:r>
      <w:r w:rsidR="00FD7F5E">
        <w:rPr>
          <w:rFonts w:ascii="Tahoma" w:hAnsi="Tahoma" w:cs="Tahoma"/>
          <w:noProof/>
          <w:sz w:val="22"/>
          <w:szCs w:val="22"/>
          <w:lang w:val="sr-Cyrl-RS"/>
        </w:rPr>
        <w:t>Смедеревска Паланка</w:t>
      </w:r>
      <w:r w:rsidR="008F56EC" w:rsidRPr="009E15D2">
        <w:rPr>
          <w:rFonts w:ascii="Tahoma" w:hAnsi="Tahoma" w:cs="Tahoma"/>
          <w:noProof/>
          <w:sz w:val="22"/>
          <w:szCs w:val="22"/>
          <w:lang w:val="sr-Latn-RS"/>
        </w:rPr>
        <w:t xml:space="preserve">, ради финансирања капиталних инвестиција, пошло се од расположивих података о стању кредитне задужености на дан </w:t>
      </w:r>
      <w:r w:rsidR="008F56EC" w:rsidRPr="009E15D2">
        <w:rPr>
          <w:rFonts w:ascii="Tahoma" w:hAnsi="Tahoma" w:cs="Tahoma"/>
          <w:noProof/>
          <w:sz w:val="22"/>
          <w:szCs w:val="22"/>
          <w:lang w:val="sr-Latn-RS"/>
        </w:rPr>
        <w:lastRenderedPageBreak/>
        <w:t xml:space="preserve">31.12.2021. године према </w:t>
      </w:r>
      <w:r w:rsidR="005F4EAC" w:rsidRPr="009E15D2">
        <w:rPr>
          <w:rFonts w:ascii="Tahoma" w:hAnsi="Tahoma" w:cs="Tahoma"/>
          <w:noProof/>
          <w:sz w:val="22"/>
          <w:szCs w:val="22"/>
          <w:lang w:val="sr-Cyrl-RS"/>
        </w:rPr>
        <w:t xml:space="preserve">месечном Извештају о кредитном задужењу </w:t>
      </w:r>
      <w:r w:rsidR="00E868EB">
        <w:rPr>
          <w:rFonts w:ascii="Tahoma" w:hAnsi="Tahoma" w:cs="Tahoma"/>
          <w:noProof/>
          <w:sz w:val="22"/>
          <w:szCs w:val="22"/>
          <w:lang w:val="sr-Cyrl-RS"/>
        </w:rPr>
        <w:t>општине</w:t>
      </w:r>
      <w:r w:rsidR="005F4EAC" w:rsidRPr="009E15D2">
        <w:rPr>
          <w:rFonts w:ascii="Tahoma" w:hAnsi="Tahoma" w:cs="Tahoma"/>
          <w:noProof/>
          <w:sz w:val="22"/>
          <w:szCs w:val="22"/>
          <w:lang w:val="sr-Cyrl-RS"/>
        </w:rPr>
        <w:t xml:space="preserve">. </w:t>
      </w:r>
      <w:r w:rsidR="002B32E7">
        <w:rPr>
          <w:rFonts w:ascii="Tahoma" w:hAnsi="Tahoma" w:cs="Tahoma"/>
          <w:noProof/>
          <w:sz w:val="22"/>
          <w:szCs w:val="22"/>
          <w:lang w:val="sr-Cyrl-RS"/>
        </w:rPr>
        <w:t>По овом</w:t>
      </w:r>
      <w:r w:rsidR="005F4EAC" w:rsidRPr="009E15D2">
        <w:rPr>
          <w:rFonts w:ascii="Tahoma" w:hAnsi="Tahoma" w:cs="Tahoma"/>
          <w:noProof/>
          <w:sz w:val="22"/>
          <w:szCs w:val="22"/>
          <w:lang w:val="sr-Cyrl-RS"/>
        </w:rPr>
        <w:t xml:space="preserve"> извештају, </w:t>
      </w:r>
      <w:r w:rsidR="00E868EB">
        <w:rPr>
          <w:rFonts w:ascii="Tahoma" w:hAnsi="Tahoma" w:cs="Tahoma"/>
          <w:noProof/>
          <w:sz w:val="22"/>
          <w:szCs w:val="22"/>
          <w:lang w:val="sr-Cyrl-RS"/>
        </w:rPr>
        <w:t xml:space="preserve">општина </w:t>
      </w:r>
      <w:r w:rsidR="00FD7F5E">
        <w:rPr>
          <w:rFonts w:ascii="Tahoma" w:hAnsi="Tahoma" w:cs="Tahoma"/>
          <w:noProof/>
          <w:sz w:val="22"/>
          <w:szCs w:val="22"/>
          <w:lang w:val="sr-Cyrl-RS"/>
        </w:rPr>
        <w:t>Смедеревска Паланка ни</w:t>
      </w:r>
      <w:r w:rsidR="00D14B4F">
        <w:rPr>
          <w:rFonts w:ascii="Tahoma" w:hAnsi="Tahoma" w:cs="Tahoma"/>
          <w:noProof/>
          <w:sz w:val="22"/>
          <w:szCs w:val="22"/>
          <w:lang w:val="sr-Cyrl-RS"/>
        </w:rPr>
        <w:t>ј</w:t>
      </w:r>
      <w:r w:rsidR="00F90837">
        <w:rPr>
          <w:rFonts w:ascii="Tahoma" w:hAnsi="Tahoma" w:cs="Tahoma"/>
          <w:noProof/>
          <w:sz w:val="22"/>
          <w:szCs w:val="22"/>
          <w:lang w:val="sr-Cyrl-RS"/>
        </w:rPr>
        <w:t xml:space="preserve">е </w:t>
      </w:r>
      <w:r w:rsidRPr="009E15D2">
        <w:rPr>
          <w:rFonts w:ascii="Tahoma" w:hAnsi="Tahoma" w:cs="Tahoma"/>
          <w:noProof/>
          <w:sz w:val="22"/>
          <w:szCs w:val="22"/>
          <w:lang w:val="sr-Cyrl-RS"/>
        </w:rPr>
        <w:t>кредитно задужено за финансирање капиталних инвестиционих расхода</w:t>
      </w:r>
      <w:r w:rsidR="00F90837">
        <w:rPr>
          <w:rFonts w:ascii="Tahoma" w:hAnsi="Tahoma" w:cs="Tahoma"/>
          <w:noProof/>
          <w:sz w:val="22"/>
          <w:szCs w:val="22"/>
          <w:lang w:val="sr-Cyrl-RS"/>
        </w:rPr>
        <w:t>.</w:t>
      </w:r>
    </w:p>
    <w:p w14:paraId="000CFF79" w14:textId="67A326F6" w:rsidR="006C1F79" w:rsidRPr="00E63A05" w:rsidRDefault="004B49E6" w:rsidP="00FA547A">
      <w:pPr>
        <w:pStyle w:val="NormalWeb"/>
        <w:spacing w:before="0" w:beforeAutospacing="0" w:after="120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D73947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mc:AlternateContent>
          <mc:Choice Requires="wps">
            <w:drawing>
              <wp:anchor distT="91440" distB="91440" distL="114300" distR="114300" simplePos="0" relativeHeight="251678720" behindDoc="0" locked="0" layoutInCell="1" allowOverlap="1" wp14:anchorId="6B4CFFF0" wp14:editId="36B4D1E9">
                <wp:simplePos x="0" y="0"/>
                <wp:positionH relativeFrom="margin">
                  <wp:align>right</wp:align>
                </wp:positionH>
                <wp:positionV relativeFrom="paragraph">
                  <wp:posOffset>1781908</wp:posOffset>
                </wp:positionV>
                <wp:extent cx="5943600" cy="1543050"/>
                <wp:effectExtent l="0" t="0" r="19050" b="1905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4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8B756" w14:textId="3D572745" w:rsidR="0073419D" w:rsidRPr="00495694" w:rsidRDefault="0073419D" w:rsidP="0073419D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Индикатори за потребе израде анализе стања и праћења достизања циљева одрживог развоја – 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доступност средстава за капиталне инвестиције</w:t>
                            </w: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61CE16A9" w14:textId="6A7BFAA0" w:rsidR="0073419D" w:rsidRPr="00495694" w:rsidRDefault="0073419D" w:rsidP="0073419D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Вредност слободних средстава за капиталне инвестиције </w:t>
                            </w:r>
                            <w:r w:rsidR="00894709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 годишњем буџету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A4848FB" w14:textId="03FF06BB" w:rsidR="0073419D" w:rsidRPr="00495694" w:rsidRDefault="0073419D" w:rsidP="0073419D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Проценат </w:t>
                            </w:r>
                            <w:r w:rsidR="00894709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слободних средстава за капиталне инвестиције у односу на укупан обим реализованих прихода буџета без наменских трансфера</w:t>
                            </w:r>
                          </w:p>
                          <w:p w14:paraId="02249B21" w14:textId="77777777" w:rsidR="0073419D" w:rsidRPr="00495694" w:rsidRDefault="0073419D" w:rsidP="0073419D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600193" w14:textId="77777777" w:rsidR="0073419D" w:rsidRPr="00495694" w:rsidRDefault="0073419D" w:rsidP="0073419D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295445" w14:textId="77777777" w:rsidR="0073419D" w:rsidRPr="00495694" w:rsidRDefault="0073419D" w:rsidP="0073419D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5B9BD5" w:themeColor="accent1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92D32E" w14:textId="77777777" w:rsidR="0073419D" w:rsidRPr="00495694" w:rsidRDefault="0073419D" w:rsidP="0073419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CFFF0" id="_x0000_s1036" type="#_x0000_t202" style="position:absolute;left:0;text-align:left;margin-left:416.8pt;margin-top:140.3pt;width:468pt;height:121.5pt;z-index:251678720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" fillcolor="white [3201]" strokecolor="#2f5496 [2408]" strokeweight="1pt">
                <v:textbox>
                  <w:txbxContent>
                    <w:p w14:paraId="13E8B756" w14:textId="3D572745" w:rsidR="0073419D" w:rsidRPr="00495694" w:rsidRDefault="0073419D" w:rsidP="0073419D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Индикатори за потребе израде анализе стања и праћења достизања циљева одрживог развоја – </w:t>
                      </w:r>
                      <w:r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доступност средстава за капиталне инвестиције</w:t>
                      </w: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61CE16A9" w14:textId="6A7BFAA0" w:rsidR="0073419D" w:rsidRPr="00495694" w:rsidRDefault="0073419D" w:rsidP="0073419D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Вредност слободних средстава за капиталне инвестиције </w:t>
                      </w:r>
                      <w:r w:rsidR="00894709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 годишњем буџету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A4848FB" w14:textId="03FF06BB" w:rsidR="0073419D" w:rsidRPr="00495694" w:rsidRDefault="0073419D" w:rsidP="0073419D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Проценат </w:t>
                      </w:r>
                      <w:r w:rsidR="00894709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слободних средстава за капиталне инвестиције у односу на укупан обим реализованих прихода буџета без наменских трансфера</w:t>
                      </w:r>
                    </w:p>
                    <w:p w14:paraId="02249B21" w14:textId="77777777" w:rsidR="0073419D" w:rsidRPr="00495694" w:rsidRDefault="0073419D" w:rsidP="0073419D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600193" w14:textId="77777777" w:rsidR="0073419D" w:rsidRPr="00495694" w:rsidRDefault="0073419D" w:rsidP="0073419D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295445" w14:textId="77777777" w:rsidR="0073419D" w:rsidRPr="00495694" w:rsidRDefault="0073419D" w:rsidP="0073419D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5B9BD5" w:themeColor="accent1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92D32E" w14:textId="77777777" w:rsidR="0073419D" w:rsidRPr="00495694" w:rsidRDefault="0073419D" w:rsidP="0073419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63A05" w:rsidRPr="00D73947">
        <w:rPr>
          <w:rFonts w:ascii="Tahoma" w:hAnsi="Tahoma" w:cs="Tahoma"/>
          <w:b/>
          <w:bCs/>
          <w:noProof/>
          <w:sz w:val="22"/>
          <w:szCs w:val="22"/>
          <w:lang w:val="sr-Cyrl-RS"/>
        </w:rPr>
        <w:t>У наредном периоду</w:t>
      </w:r>
      <w:r w:rsidR="00E63A05">
        <w:rPr>
          <w:rFonts w:ascii="Tahoma" w:hAnsi="Tahoma" w:cs="Tahoma"/>
          <w:b/>
          <w:bCs/>
          <w:noProof/>
          <w:sz w:val="22"/>
          <w:szCs w:val="22"/>
          <w:lang w:val="sr-Cyrl-RS"/>
        </w:rPr>
        <w:t>, у којем се</w:t>
      </w:r>
      <w:r w:rsidR="00E63A05" w:rsidRPr="00D73947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реализ</w:t>
      </w:r>
      <w:r w:rsidR="00E63A05">
        <w:rPr>
          <w:rFonts w:ascii="Tahoma" w:hAnsi="Tahoma" w:cs="Tahoma"/>
          <w:b/>
          <w:bCs/>
          <w:noProof/>
          <w:sz w:val="22"/>
          <w:szCs w:val="22"/>
          <w:lang w:val="sr-Cyrl-RS"/>
        </w:rPr>
        <w:t>ује</w:t>
      </w:r>
      <w:r w:rsidR="00E63A05" w:rsidRPr="00D73947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будућ</w:t>
      </w:r>
      <w:r w:rsidR="00E63A05">
        <w:rPr>
          <w:rFonts w:ascii="Tahoma" w:hAnsi="Tahoma" w:cs="Tahoma"/>
          <w:b/>
          <w:bCs/>
          <w:noProof/>
          <w:sz w:val="22"/>
          <w:szCs w:val="22"/>
          <w:lang w:val="sr-Cyrl-RS"/>
        </w:rPr>
        <w:t>и</w:t>
      </w:r>
      <w:r w:rsidR="00E63A05" w:rsidRPr="00D73947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план развоја, </w:t>
      </w:r>
      <w:r w:rsidR="00E63A05">
        <w:rPr>
          <w:rFonts w:ascii="Tahoma" w:hAnsi="Tahoma" w:cs="Tahoma"/>
          <w:b/>
          <w:bCs/>
          <w:noProof/>
          <w:sz w:val="22"/>
          <w:szCs w:val="22"/>
          <w:lang w:val="sr-Cyrl-RS"/>
        </w:rPr>
        <w:t>општини</w:t>
      </w:r>
      <w:r w:rsidR="00E63A05" w:rsidRPr="00D73947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стоје на располагању кредитни извори</w:t>
      </w:r>
      <w:r w:rsidR="00F90837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финансирања</w:t>
      </w:r>
      <w:r w:rsidR="00E63A05" w:rsidRPr="00D73947">
        <w:rPr>
          <w:rFonts w:ascii="Tahoma" w:hAnsi="Tahoma" w:cs="Tahoma"/>
          <w:b/>
          <w:bCs/>
          <w:noProof/>
          <w:sz w:val="22"/>
          <w:szCs w:val="22"/>
          <w:lang w:val="sr-Cyrl-RS"/>
        </w:rPr>
        <w:t>.</w:t>
      </w:r>
      <w:r w:rsidR="00E63A05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E63A05" w:rsidRPr="00F82A7F">
        <w:rPr>
          <w:rFonts w:ascii="Tahoma" w:hAnsi="Tahoma" w:cs="Tahoma"/>
          <w:noProof/>
          <w:sz w:val="22"/>
          <w:szCs w:val="22"/>
          <w:lang w:val="sr-Latn-RS"/>
        </w:rPr>
        <w:t>У складу са одредбама Закона о јавном дугу</w:t>
      </w:r>
      <w:r w:rsidR="00E63A05" w:rsidRPr="00F82A7F">
        <w:rPr>
          <w:rStyle w:val="FootnoteReference"/>
          <w:rFonts w:ascii="Tahoma" w:hAnsi="Tahoma" w:cs="Tahoma"/>
          <w:noProof/>
          <w:sz w:val="22"/>
          <w:szCs w:val="22"/>
          <w:lang w:val="sr-Latn-RS"/>
        </w:rPr>
        <w:footnoteReference w:id="12"/>
      </w:r>
      <w:r w:rsidR="00E63A05" w:rsidRPr="00F82A7F">
        <w:rPr>
          <w:rFonts w:ascii="Tahoma" w:hAnsi="Tahoma" w:cs="Tahoma"/>
          <w:noProof/>
          <w:sz w:val="22"/>
          <w:szCs w:val="22"/>
          <w:lang w:val="sr-Latn-RS"/>
        </w:rPr>
        <w:t>, дугорочна задуженост локалне власти за финансирање капиталних инвестиционих расхода не може бити већи од 50% укупно остварених текућих прихода буџета локалне власти у претходној години, те на основу расположивог податка о оствареним приходима буџета</w:t>
      </w:r>
      <w:r w:rsidR="00E63A05">
        <w:rPr>
          <w:rFonts w:ascii="Tahoma" w:hAnsi="Tahoma" w:cs="Tahoma"/>
          <w:noProof/>
          <w:sz w:val="22"/>
          <w:szCs w:val="22"/>
          <w:lang w:val="sr-Cyrl-RS"/>
        </w:rPr>
        <w:t xml:space="preserve"> општине </w:t>
      </w:r>
      <w:r w:rsidR="00EE714E">
        <w:rPr>
          <w:rFonts w:ascii="Tahoma" w:hAnsi="Tahoma" w:cs="Tahoma"/>
          <w:noProof/>
          <w:sz w:val="22"/>
          <w:szCs w:val="22"/>
          <w:lang w:val="sr-Cyrl-RS"/>
        </w:rPr>
        <w:t>С</w:t>
      </w:r>
      <w:r w:rsidR="000419A2">
        <w:rPr>
          <w:rFonts w:ascii="Tahoma" w:hAnsi="Tahoma" w:cs="Tahoma"/>
          <w:noProof/>
          <w:sz w:val="22"/>
          <w:szCs w:val="22"/>
          <w:lang w:val="sr-Cyrl-RS"/>
        </w:rPr>
        <w:t>медеревска Паланка</w:t>
      </w:r>
      <w:r w:rsidR="00E63A05" w:rsidRPr="00F82A7F">
        <w:rPr>
          <w:rFonts w:ascii="Tahoma" w:hAnsi="Tahoma" w:cs="Tahoma"/>
          <w:noProof/>
          <w:sz w:val="22"/>
          <w:szCs w:val="22"/>
          <w:lang w:val="sr-Latn-RS"/>
        </w:rPr>
        <w:t xml:space="preserve"> у 202</w:t>
      </w:r>
      <w:r w:rsidR="00E63A05">
        <w:rPr>
          <w:rFonts w:ascii="Tahoma" w:hAnsi="Tahoma" w:cs="Tahoma"/>
          <w:noProof/>
          <w:sz w:val="22"/>
          <w:szCs w:val="22"/>
          <w:lang w:val="sr-Cyrl-RS"/>
        </w:rPr>
        <w:t>1</w:t>
      </w:r>
      <w:r w:rsidR="00E63A05" w:rsidRPr="00F82A7F">
        <w:rPr>
          <w:rFonts w:ascii="Tahoma" w:hAnsi="Tahoma" w:cs="Tahoma"/>
          <w:noProof/>
          <w:sz w:val="22"/>
          <w:szCs w:val="22"/>
          <w:lang w:val="sr-Latn-RS"/>
        </w:rPr>
        <w:t>. години, који износ</w:t>
      </w:r>
      <w:r w:rsidR="00E63A05">
        <w:rPr>
          <w:rFonts w:ascii="Tahoma" w:hAnsi="Tahoma" w:cs="Tahoma"/>
          <w:noProof/>
          <w:sz w:val="22"/>
          <w:szCs w:val="22"/>
          <w:lang w:val="sr-Cyrl-RS"/>
        </w:rPr>
        <w:t>и</w:t>
      </w:r>
      <w:r w:rsidR="00E63A05" w:rsidRPr="00F82A7F">
        <w:rPr>
          <w:rFonts w:ascii="Tahoma" w:hAnsi="Tahoma" w:cs="Tahoma"/>
          <w:noProof/>
          <w:color w:val="FF0000"/>
          <w:sz w:val="22"/>
          <w:szCs w:val="22"/>
          <w:lang w:val="sr-Latn-RS"/>
        </w:rPr>
        <w:t xml:space="preserve"> </w:t>
      </w:r>
      <w:r w:rsidR="00617546">
        <w:rPr>
          <w:rFonts w:ascii="Tahoma" w:hAnsi="Tahoma" w:cs="Tahoma"/>
          <w:noProof/>
          <w:sz w:val="22"/>
          <w:szCs w:val="22"/>
          <w:lang w:val="sr-Cyrl-RS"/>
        </w:rPr>
        <w:t>1.412.521</w:t>
      </w:r>
      <w:r w:rsidR="00E63A05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E63A05" w:rsidRPr="00F82A7F">
        <w:rPr>
          <w:rFonts w:ascii="Tahoma" w:hAnsi="Tahoma" w:cs="Tahoma"/>
          <w:noProof/>
          <w:sz w:val="22"/>
          <w:szCs w:val="22"/>
          <w:lang w:val="sr-Latn-RS"/>
        </w:rPr>
        <w:t>хиљада динара</w:t>
      </w:r>
      <w:r w:rsidR="00E63A05">
        <w:rPr>
          <w:rFonts w:ascii="Tahoma" w:hAnsi="Tahoma" w:cs="Tahoma"/>
          <w:noProof/>
          <w:sz w:val="22"/>
          <w:szCs w:val="22"/>
          <w:lang w:val="sr-Cyrl-RS"/>
        </w:rPr>
        <w:t>,</w:t>
      </w:r>
      <w:r w:rsidR="00E63A05" w:rsidRPr="00F82A7F">
        <w:rPr>
          <w:rFonts w:ascii="Tahoma" w:hAnsi="Tahoma" w:cs="Tahoma"/>
          <w:noProof/>
          <w:sz w:val="22"/>
          <w:szCs w:val="22"/>
          <w:lang w:val="sr-Latn-RS"/>
        </w:rPr>
        <w:t xml:space="preserve"> констат</w:t>
      </w:r>
      <w:r>
        <w:rPr>
          <w:rFonts w:ascii="Tahoma" w:hAnsi="Tahoma" w:cs="Tahoma"/>
          <w:noProof/>
          <w:sz w:val="22"/>
          <w:szCs w:val="22"/>
          <w:lang w:val="sr-Cyrl-RS"/>
        </w:rPr>
        <w:t>ује се</w:t>
      </w:r>
      <w:r w:rsidR="00E63A05" w:rsidRPr="00F82A7F">
        <w:rPr>
          <w:rFonts w:ascii="Tahoma" w:hAnsi="Tahoma" w:cs="Tahoma"/>
          <w:noProof/>
          <w:sz w:val="22"/>
          <w:szCs w:val="22"/>
          <w:lang w:val="sr-Latn-RS"/>
        </w:rPr>
        <w:t xml:space="preserve"> да </w:t>
      </w:r>
      <w:r w:rsidR="00E63A05">
        <w:rPr>
          <w:rFonts w:ascii="Tahoma" w:hAnsi="Tahoma" w:cs="Tahoma"/>
          <w:noProof/>
          <w:sz w:val="22"/>
          <w:szCs w:val="22"/>
          <w:lang w:val="sr-Cyrl-RS"/>
        </w:rPr>
        <w:t xml:space="preserve">општина </w:t>
      </w:r>
      <w:r w:rsidR="00E63A05" w:rsidRPr="00F82A7F">
        <w:rPr>
          <w:rFonts w:ascii="Tahoma" w:hAnsi="Tahoma" w:cs="Tahoma"/>
          <w:noProof/>
          <w:sz w:val="22"/>
          <w:szCs w:val="22"/>
          <w:lang w:val="sr-Latn-RS"/>
        </w:rPr>
        <w:t>може да се задужи код</w:t>
      </w:r>
      <w:r w:rsidR="00E63A05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E63A05" w:rsidRPr="00F82A7F">
        <w:rPr>
          <w:rFonts w:ascii="Tahoma" w:hAnsi="Tahoma" w:cs="Tahoma"/>
          <w:noProof/>
          <w:sz w:val="22"/>
          <w:szCs w:val="22"/>
          <w:lang w:val="sr-Latn-RS"/>
        </w:rPr>
        <w:t xml:space="preserve">пословних банака у земљи </w:t>
      </w:r>
      <w:r w:rsidR="00E63A05">
        <w:rPr>
          <w:rFonts w:ascii="Tahoma" w:hAnsi="Tahoma" w:cs="Tahoma"/>
          <w:noProof/>
          <w:sz w:val="22"/>
          <w:szCs w:val="22"/>
          <w:lang w:val="sr-Cyrl-RS"/>
        </w:rPr>
        <w:t>у виду</w:t>
      </w:r>
      <w:r w:rsidR="00E63A05" w:rsidRPr="00F82A7F">
        <w:rPr>
          <w:rFonts w:ascii="Tahoma" w:hAnsi="Tahoma" w:cs="Tahoma"/>
          <w:noProof/>
          <w:sz w:val="22"/>
          <w:szCs w:val="22"/>
          <w:lang w:val="sr-Latn-RS"/>
        </w:rPr>
        <w:t xml:space="preserve"> дугорочног кредита за финансирање капиталних издатака </w:t>
      </w:r>
      <w:r w:rsidR="00E63A05">
        <w:rPr>
          <w:rFonts w:ascii="Tahoma" w:hAnsi="Tahoma" w:cs="Tahoma"/>
          <w:noProof/>
          <w:sz w:val="22"/>
          <w:szCs w:val="22"/>
          <w:lang w:val="sr-Cyrl-RS"/>
        </w:rPr>
        <w:t xml:space="preserve">у износу до </w:t>
      </w:r>
      <w:r w:rsidR="00D929F6">
        <w:rPr>
          <w:rFonts w:ascii="Tahoma" w:hAnsi="Tahoma" w:cs="Tahoma"/>
          <w:b/>
          <w:bCs/>
          <w:noProof/>
          <w:sz w:val="22"/>
          <w:szCs w:val="22"/>
          <w:lang w:val="sr-Cyrl-RS"/>
        </w:rPr>
        <w:t>706.260</w:t>
      </w:r>
      <w:r w:rsidR="00E63A05" w:rsidRPr="00F82A7F">
        <w:rPr>
          <w:rFonts w:ascii="Tahoma" w:hAnsi="Tahoma" w:cs="Tahoma"/>
          <w:b/>
          <w:bCs/>
          <w:noProof/>
          <w:sz w:val="22"/>
          <w:szCs w:val="22"/>
          <w:lang w:val="sr-Latn-RS"/>
        </w:rPr>
        <w:t xml:space="preserve"> хиљада дина</w:t>
      </w:r>
      <w:r w:rsidR="00E63A05" w:rsidRPr="00F82A7F">
        <w:rPr>
          <w:rFonts w:ascii="Tahoma" w:hAnsi="Tahoma" w:cs="Tahoma"/>
          <w:b/>
          <w:bCs/>
          <w:noProof/>
          <w:sz w:val="22"/>
          <w:szCs w:val="22"/>
          <w:lang w:val="sr-Cyrl-RS"/>
        </w:rPr>
        <w:t>ра</w:t>
      </w:r>
      <w:r w:rsidR="00E63A05">
        <w:rPr>
          <w:rFonts w:ascii="Tahoma" w:hAnsi="Tahoma" w:cs="Tahoma"/>
          <w:b/>
          <w:bCs/>
          <w:noProof/>
          <w:sz w:val="22"/>
          <w:szCs w:val="22"/>
          <w:lang w:val="sr-Cyrl-RS"/>
        </w:rPr>
        <w:t>.</w:t>
      </w:r>
    </w:p>
    <w:p w14:paraId="0DB16A5A" w14:textId="1DC9300F" w:rsidR="00FE166D" w:rsidRDefault="00FE166D" w:rsidP="00FA547A">
      <w:pPr>
        <w:pStyle w:val="NormalWeb"/>
        <w:spacing w:before="0" w:beforeAutospacing="0" w:after="120"/>
        <w:jc w:val="both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14:paraId="2631593D" w14:textId="64998116" w:rsidR="008F56EC" w:rsidRDefault="003235DF" w:rsidP="003235DF">
      <w:pPr>
        <w:pStyle w:val="Heading3"/>
        <w:numPr>
          <w:ilvl w:val="0"/>
          <w:numId w:val="0"/>
        </w:numPr>
        <w:jc w:val="both"/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sr-Cyrl-RS"/>
        </w:rPr>
      </w:pPr>
      <w:r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sr-Cyrl-RS"/>
        </w:rPr>
        <w:t xml:space="preserve">7. Процена потенцијала </w:t>
      </w:r>
      <w:r w:rsidR="00222496"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sr-Cyrl-RS"/>
        </w:rPr>
        <w:t xml:space="preserve">општине </w:t>
      </w:r>
      <w:r w:rsidR="009C3858"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sr-Cyrl-RS"/>
        </w:rPr>
        <w:t>С</w:t>
      </w:r>
      <w:r w:rsidR="00642DCA"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sr-Cyrl-RS"/>
        </w:rPr>
        <w:t>медеревска Паланка</w:t>
      </w:r>
      <w:r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sr-Cyrl-RS"/>
        </w:rPr>
        <w:t xml:space="preserve"> за финансирање капиталних инвестиционих расхода и издатака у периоду од 202</w:t>
      </w:r>
      <w:r w:rsidR="0019267A"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sr-Cyrl-RS"/>
        </w:rPr>
        <w:t>3</w:t>
      </w:r>
      <w:r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sr-Cyrl-RS"/>
        </w:rPr>
        <w:t xml:space="preserve"> - 203</w:t>
      </w:r>
      <w:r w:rsidR="0019267A"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sr-Cyrl-RS"/>
        </w:rPr>
        <w:t>3</w:t>
      </w:r>
    </w:p>
    <w:p w14:paraId="51B9DC0C" w14:textId="77777777" w:rsidR="003235DF" w:rsidRPr="003235DF" w:rsidRDefault="003235DF" w:rsidP="003235DF">
      <w:pPr>
        <w:pStyle w:val="BodyText"/>
        <w:rPr>
          <w:lang w:val="sr-Cyrl-RS"/>
        </w:rPr>
      </w:pPr>
    </w:p>
    <w:p w14:paraId="4E39480F" w14:textId="6FE6AD9A" w:rsidR="008F56EC" w:rsidRPr="00F82A7F" w:rsidRDefault="008F56EC" w:rsidP="000D7F98">
      <w:pPr>
        <w:pStyle w:val="NormalWeb"/>
        <w:spacing w:before="0" w:beforeAutospacing="0" w:after="160" w:line="259" w:lineRule="auto"/>
        <w:jc w:val="both"/>
        <w:rPr>
          <w:rFonts w:ascii="Tahoma" w:hAnsi="Tahoma" w:cs="Tahoma"/>
          <w:noProof/>
          <w:lang w:val="sr-Cyrl-RS"/>
        </w:rPr>
      </w:pPr>
      <w:r w:rsidRPr="004E7FF2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Процена капацитета </w:t>
      </w:r>
      <w:r w:rsidR="00222496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општине </w:t>
      </w:r>
      <w:r w:rsidR="00642DCA">
        <w:rPr>
          <w:rFonts w:ascii="Tahoma" w:hAnsi="Tahoma" w:cs="Tahoma"/>
          <w:b/>
          <w:bCs/>
          <w:noProof/>
          <w:sz w:val="22"/>
          <w:szCs w:val="22"/>
          <w:lang w:val="sr-Cyrl-RS"/>
        </w:rPr>
        <w:t>Смедеревска Паланка</w:t>
      </w:r>
      <w:r w:rsidRPr="004E7FF2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за наредни период извршена је на основу података добијених приликом оцене потенцијала </w:t>
      </w:r>
      <w:r w:rsidR="00222496">
        <w:rPr>
          <w:rFonts w:ascii="Tahoma" w:hAnsi="Tahoma" w:cs="Tahoma"/>
          <w:b/>
          <w:bCs/>
          <w:noProof/>
          <w:sz w:val="22"/>
          <w:szCs w:val="22"/>
          <w:lang w:val="sr-Cyrl-RS"/>
        </w:rPr>
        <w:t>општинског</w:t>
      </w:r>
      <w:r w:rsidRPr="004E7FF2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буџета за финансирање капиталних инвестиционих расхода, са једне стране, односно набрајаних потреба за јачање капацитета управљања финансијама, са друге стране</w:t>
      </w:r>
      <w:r w:rsidR="004E7FF2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. </w:t>
      </w:r>
      <w:r w:rsidR="004E7FF2">
        <w:rPr>
          <w:rFonts w:ascii="Tahoma" w:hAnsi="Tahoma" w:cs="Tahoma"/>
          <w:noProof/>
          <w:sz w:val="22"/>
          <w:szCs w:val="22"/>
          <w:lang w:val="sr-Cyrl-RS"/>
        </w:rPr>
        <w:t>Елементи за јачање капацитета</w:t>
      </w:r>
      <w:r w:rsidRPr="00F82A7F">
        <w:rPr>
          <w:rFonts w:ascii="Tahoma" w:hAnsi="Tahoma" w:cs="Tahoma"/>
          <w:noProof/>
          <w:sz w:val="22"/>
          <w:szCs w:val="22"/>
          <w:lang w:val="sr-Cyrl-RS"/>
        </w:rPr>
        <w:t xml:space="preserve"> се огледају у следећем:</w:t>
      </w:r>
    </w:p>
    <w:p w14:paraId="068E4B8F" w14:textId="11DB84DE" w:rsidR="008F56EC" w:rsidRPr="00F82A7F" w:rsidRDefault="008F56EC" w:rsidP="000D7F98">
      <w:pPr>
        <w:pStyle w:val="NormalWeb"/>
        <w:numPr>
          <w:ilvl w:val="0"/>
          <w:numId w:val="20"/>
        </w:numPr>
        <w:spacing w:before="0" w:beforeAutospacing="0" w:after="160" w:line="259" w:lineRule="auto"/>
        <w:ind w:left="0"/>
        <w:jc w:val="both"/>
        <w:rPr>
          <w:rFonts w:ascii="Tahoma" w:hAnsi="Tahoma" w:cs="Tahoma"/>
          <w:noProof/>
          <w:lang w:val="sr-Cyrl-RS"/>
        </w:rPr>
      </w:pPr>
      <w:r w:rsidRPr="00F82A7F">
        <w:rPr>
          <w:rFonts w:ascii="Tahoma" w:hAnsi="Tahoma" w:cs="Tahoma"/>
          <w:noProof/>
          <w:sz w:val="22"/>
          <w:szCs w:val="22"/>
          <w:lang w:val="sr-Cyrl-RS"/>
        </w:rPr>
        <w:t>смањење текућих расхода буџетских корисника кроз ефикаснију употребу расположивих ресурса</w:t>
      </w:r>
    </w:p>
    <w:p w14:paraId="1BF553D7" w14:textId="77777777" w:rsidR="008F56EC" w:rsidRPr="00F82A7F" w:rsidRDefault="008F56EC" w:rsidP="000D7F98">
      <w:pPr>
        <w:pStyle w:val="NormalWeb"/>
        <w:numPr>
          <w:ilvl w:val="0"/>
          <w:numId w:val="2"/>
        </w:numPr>
        <w:spacing w:before="0" w:beforeAutospacing="0" w:after="160" w:line="259" w:lineRule="auto"/>
        <w:ind w:left="0"/>
        <w:jc w:val="both"/>
        <w:rPr>
          <w:rFonts w:ascii="Tahoma" w:hAnsi="Tahoma" w:cs="Tahoma"/>
          <w:noProof/>
          <w:lang w:val="sr-Cyrl-RS"/>
        </w:rPr>
      </w:pPr>
      <w:r w:rsidRPr="00F82A7F">
        <w:rPr>
          <w:rFonts w:ascii="Tahoma" w:hAnsi="Tahoma" w:cs="Tahoma"/>
          <w:noProof/>
          <w:sz w:val="22"/>
          <w:szCs w:val="22"/>
          <w:lang w:val="sr-Cyrl-RS"/>
        </w:rPr>
        <w:t>смањење енергетских трошкова,</w:t>
      </w:r>
    </w:p>
    <w:p w14:paraId="2D9E1CFF" w14:textId="77777777" w:rsidR="008F56EC" w:rsidRPr="00F82A7F" w:rsidRDefault="008F56EC" w:rsidP="000D7F98">
      <w:pPr>
        <w:pStyle w:val="NormalWeb"/>
        <w:numPr>
          <w:ilvl w:val="0"/>
          <w:numId w:val="2"/>
        </w:numPr>
        <w:spacing w:before="0" w:beforeAutospacing="0" w:after="160" w:line="259" w:lineRule="auto"/>
        <w:ind w:left="0"/>
        <w:jc w:val="both"/>
        <w:rPr>
          <w:rFonts w:ascii="Tahoma" w:hAnsi="Tahoma" w:cs="Tahoma"/>
          <w:noProof/>
          <w:lang w:val="sr-Cyrl-RS"/>
        </w:rPr>
      </w:pPr>
      <w:r w:rsidRPr="00F82A7F">
        <w:rPr>
          <w:rFonts w:ascii="Tahoma" w:hAnsi="Tahoma" w:cs="Tahoma"/>
          <w:noProof/>
          <w:sz w:val="22"/>
          <w:szCs w:val="22"/>
          <w:lang w:val="sr-Cyrl-RS"/>
        </w:rPr>
        <w:t>смањење расхода за административне услуге,</w:t>
      </w:r>
    </w:p>
    <w:p w14:paraId="25CB3DD4" w14:textId="77777777" w:rsidR="008F56EC" w:rsidRPr="00F82A7F" w:rsidRDefault="008F56EC" w:rsidP="000D7F98">
      <w:pPr>
        <w:pStyle w:val="NormalWeb"/>
        <w:numPr>
          <w:ilvl w:val="0"/>
          <w:numId w:val="2"/>
        </w:numPr>
        <w:spacing w:before="0" w:beforeAutospacing="0" w:after="160" w:line="259" w:lineRule="auto"/>
        <w:ind w:left="0"/>
        <w:jc w:val="both"/>
        <w:rPr>
          <w:rFonts w:ascii="Tahoma" w:hAnsi="Tahoma" w:cs="Tahoma"/>
          <w:noProof/>
          <w:lang w:val="sr-Cyrl-RS"/>
        </w:rPr>
      </w:pPr>
      <w:r w:rsidRPr="00F82A7F">
        <w:rPr>
          <w:rFonts w:ascii="Tahoma" w:hAnsi="Tahoma" w:cs="Tahoma"/>
          <w:noProof/>
          <w:sz w:val="22"/>
          <w:szCs w:val="22"/>
          <w:lang w:val="sr-Cyrl-RS"/>
        </w:rPr>
        <w:t>смањење појединих уговорених стручних и специјализованих услуга,</w:t>
      </w:r>
    </w:p>
    <w:p w14:paraId="010FA3AB" w14:textId="77777777" w:rsidR="008F56EC" w:rsidRPr="00F82A7F" w:rsidRDefault="008F56EC" w:rsidP="000D7F98">
      <w:pPr>
        <w:pStyle w:val="NormalWeb"/>
        <w:numPr>
          <w:ilvl w:val="0"/>
          <w:numId w:val="2"/>
        </w:numPr>
        <w:spacing w:before="0" w:beforeAutospacing="0" w:after="160" w:line="259" w:lineRule="auto"/>
        <w:ind w:left="0"/>
        <w:jc w:val="both"/>
        <w:rPr>
          <w:rFonts w:ascii="Tahoma" w:hAnsi="Tahoma" w:cs="Tahoma"/>
          <w:noProof/>
          <w:lang w:val="sr-Cyrl-RS"/>
        </w:rPr>
      </w:pPr>
      <w:r w:rsidRPr="00F82A7F">
        <w:rPr>
          <w:rFonts w:ascii="Tahoma" w:hAnsi="Tahoma" w:cs="Tahoma"/>
          <w:noProof/>
          <w:sz w:val="22"/>
          <w:szCs w:val="22"/>
          <w:lang w:val="sr-Cyrl-RS"/>
        </w:rPr>
        <w:t>смањење трошкова материјала и осталих расхода.</w:t>
      </w:r>
    </w:p>
    <w:p w14:paraId="50068CB2" w14:textId="5685AE28" w:rsidR="008F56EC" w:rsidRPr="00F82A7F" w:rsidRDefault="008F56EC" w:rsidP="000D7F98">
      <w:pPr>
        <w:pStyle w:val="NormalWeb"/>
        <w:numPr>
          <w:ilvl w:val="0"/>
          <w:numId w:val="22"/>
        </w:numPr>
        <w:spacing w:before="0" w:beforeAutospacing="0" w:after="160" w:line="259" w:lineRule="auto"/>
        <w:ind w:left="0"/>
        <w:jc w:val="both"/>
        <w:rPr>
          <w:rFonts w:ascii="Tahoma" w:hAnsi="Tahoma" w:cs="Tahoma"/>
          <w:noProof/>
          <w:lang w:val="sr-Cyrl-RS"/>
        </w:rPr>
      </w:pPr>
      <w:r w:rsidRPr="00F82A7F">
        <w:rPr>
          <w:rFonts w:ascii="Tahoma" w:hAnsi="Tahoma" w:cs="Tahoma"/>
          <w:noProof/>
          <w:sz w:val="22"/>
          <w:szCs w:val="22"/>
          <w:lang w:val="sr-Cyrl-RS"/>
        </w:rPr>
        <w:lastRenderedPageBreak/>
        <w:t xml:space="preserve">повећање прихода и примања буџета </w:t>
      </w:r>
      <w:r w:rsidR="001E1CA3">
        <w:rPr>
          <w:rFonts w:ascii="Tahoma" w:hAnsi="Tahoma" w:cs="Tahoma"/>
          <w:noProof/>
          <w:sz w:val="22"/>
          <w:szCs w:val="22"/>
          <w:lang w:val="sr-Cyrl-RS"/>
        </w:rPr>
        <w:t>општине</w:t>
      </w:r>
      <w:r w:rsidRPr="00F82A7F">
        <w:rPr>
          <w:rFonts w:ascii="Tahoma" w:hAnsi="Tahoma" w:cs="Tahoma"/>
          <w:noProof/>
          <w:sz w:val="22"/>
          <w:szCs w:val="22"/>
          <w:lang w:val="sr-Cyrl-RS"/>
        </w:rPr>
        <w:t xml:space="preserve"> на које има директан утицај</w:t>
      </w:r>
    </w:p>
    <w:p w14:paraId="26505DA3" w14:textId="677CDE3E" w:rsidR="008F56EC" w:rsidRPr="00F82A7F" w:rsidRDefault="008F56EC" w:rsidP="000D7F98">
      <w:pPr>
        <w:pStyle w:val="NormalWeb"/>
        <w:numPr>
          <w:ilvl w:val="0"/>
          <w:numId w:val="2"/>
        </w:numPr>
        <w:spacing w:before="0" w:beforeAutospacing="0" w:after="160" w:line="259" w:lineRule="auto"/>
        <w:ind w:left="0"/>
        <w:jc w:val="both"/>
        <w:rPr>
          <w:rFonts w:ascii="Tahoma" w:hAnsi="Tahoma" w:cs="Tahoma"/>
          <w:noProof/>
          <w:lang w:val="sr-Cyrl-RS"/>
        </w:rPr>
      </w:pPr>
      <w:r w:rsidRPr="00F82A7F">
        <w:rPr>
          <w:rFonts w:ascii="Tahoma" w:hAnsi="Tahoma" w:cs="Tahoma"/>
          <w:noProof/>
          <w:sz w:val="22"/>
          <w:szCs w:val="22"/>
          <w:lang w:val="sr-Cyrl-RS"/>
        </w:rPr>
        <w:t xml:space="preserve">повећање наплате пореза на имовину, као изворног прихода </w:t>
      </w:r>
      <w:r w:rsidR="001E1CA3">
        <w:rPr>
          <w:rFonts w:ascii="Tahoma" w:hAnsi="Tahoma" w:cs="Tahoma"/>
          <w:noProof/>
          <w:sz w:val="22"/>
          <w:szCs w:val="22"/>
          <w:lang w:val="sr-Cyrl-RS"/>
        </w:rPr>
        <w:t>општине</w:t>
      </w:r>
      <w:r w:rsidRPr="00F82A7F">
        <w:rPr>
          <w:rFonts w:ascii="Tahoma" w:hAnsi="Tahoma" w:cs="Tahoma"/>
          <w:noProof/>
          <w:sz w:val="22"/>
          <w:szCs w:val="22"/>
          <w:lang w:val="sr-Cyrl-RS"/>
        </w:rPr>
        <w:t>,</w:t>
      </w:r>
    </w:p>
    <w:p w14:paraId="7424F467" w14:textId="13CA7A0C" w:rsidR="008F56EC" w:rsidRPr="00F82A7F" w:rsidRDefault="008F56EC" w:rsidP="000D7F98">
      <w:pPr>
        <w:pStyle w:val="NormalWeb"/>
        <w:numPr>
          <w:ilvl w:val="0"/>
          <w:numId w:val="2"/>
        </w:numPr>
        <w:spacing w:before="0" w:beforeAutospacing="0" w:after="160" w:line="259" w:lineRule="auto"/>
        <w:ind w:left="0"/>
        <w:jc w:val="both"/>
        <w:rPr>
          <w:rFonts w:ascii="Tahoma" w:hAnsi="Tahoma" w:cs="Tahoma"/>
          <w:noProof/>
          <w:lang w:val="sr-Cyrl-RS"/>
        </w:rPr>
      </w:pPr>
      <w:r w:rsidRPr="00F82A7F">
        <w:rPr>
          <w:rFonts w:ascii="Tahoma" w:hAnsi="Tahoma" w:cs="Tahoma"/>
          <w:noProof/>
          <w:sz w:val="22"/>
          <w:szCs w:val="22"/>
          <w:lang w:val="sr-Cyrl-RS"/>
        </w:rPr>
        <w:t xml:space="preserve">повећање запослености кроз конкретне мере запошљавања и повећање припадајућег дела пореза на зараде у корист нивоа </w:t>
      </w:r>
      <w:r w:rsidR="001E1CA3">
        <w:rPr>
          <w:rFonts w:ascii="Tahoma" w:hAnsi="Tahoma" w:cs="Tahoma"/>
          <w:noProof/>
          <w:sz w:val="22"/>
          <w:szCs w:val="22"/>
          <w:lang w:val="sr-Cyrl-RS"/>
        </w:rPr>
        <w:t>општине</w:t>
      </w:r>
      <w:r w:rsidRPr="00F82A7F">
        <w:rPr>
          <w:rFonts w:ascii="Tahoma" w:hAnsi="Tahoma" w:cs="Tahoma"/>
          <w:noProof/>
          <w:sz w:val="22"/>
          <w:szCs w:val="22"/>
          <w:lang w:val="sr-Cyrl-RS"/>
        </w:rPr>
        <w:t>,</w:t>
      </w:r>
    </w:p>
    <w:p w14:paraId="48C10A7B" w14:textId="7DE59A59" w:rsidR="008F56EC" w:rsidRPr="00F82A7F" w:rsidRDefault="008F56EC" w:rsidP="000D7F98">
      <w:pPr>
        <w:pStyle w:val="NormalWeb"/>
        <w:numPr>
          <w:ilvl w:val="0"/>
          <w:numId w:val="2"/>
        </w:numPr>
        <w:spacing w:before="0" w:beforeAutospacing="0" w:after="160" w:line="259" w:lineRule="auto"/>
        <w:ind w:left="0"/>
        <w:jc w:val="both"/>
        <w:rPr>
          <w:rFonts w:ascii="Tahoma" w:hAnsi="Tahoma" w:cs="Tahoma"/>
          <w:noProof/>
          <w:lang w:val="sr-Cyrl-RS"/>
        </w:rPr>
      </w:pPr>
      <w:r w:rsidRPr="00F82A7F">
        <w:rPr>
          <w:rFonts w:ascii="Tahoma" w:hAnsi="Tahoma" w:cs="Tahoma"/>
          <w:noProof/>
          <w:sz w:val="22"/>
          <w:szCs w:val="22"/>
          <w:lang w:val="sr-Cyrl-RS"/>
        </w:rPr>
        <w:t xml:space="preserve">повећање прихода од издавања у закуп имовине </w:t>
      </w:r>
      <w:r w:rsidR="001E1CA3">
        <w:rPr>
          <w:rFonts w:ascii="Tahoma" w:hAnsi="Tahoma" w:cs="Tahoma"/>
          <w:noProof/>
          <w:sz w:val="22"/>
          <w:szCs w:val="22"/>
          <w:lang w:val="sr-Cyrl-RS"/>
        </w:rPr>
        <w:t>општине</w:t>
      </w:r>
      <w:r w:rsidRPr="00F82A7F">
        <w:rPr>
          <w:rFonts w:ascii="Tahoma" w:hAnsi="Tahoma" w:cs="Tahoma"/>
          <w:noProof/>
          <w:sz w:val="22"/>
          <w:szCs w:val="22"/>
          <w:lang w:val="sr-Cyrl-RS"/>
        </w:rPr>
        <w:t>,</w:t>
      </w:r>
    </w:p>
    <w:p w14:paraId="30BBDC4A" w14:textId="3C78639A" w:rsidR="008F56EC" w:rsidRPr="00F82A7F" w:rsidRDefault="008F56EC" w:rsidP="000D7F98">
      <w:pPr>
        <w:pStyle w:val="NormalWeb"/>
        <w:numPr>
          <w:ilvl w:val="0"/>
          <w:numId w:val="2"/>
        </w:numPr>
        <w:spacing w:before="0" w:beforeAutospacing="0" w:after="160" w:line="259" w:lineRule="auto"/>
        <w:ind w:left="0"/>
        <w:jc w:val="both"/>
        <w:rPr>
          <w:rFonts w:ascii="Tahoma" w:hAnsi="Tahoma" w:cs="Tahoma"/>
          <w:noProof/>
          <w:lang w:val="sr-Cyrl-RS"/>
        </w:rPr>
      </w:pPr>
      <w:r w:rsidRPr="00F82A7F">
        <w:rPr>
          <w:rFonts w:ascii="Tahoma" w:hAnsi="Tahoma" w:cs="Tahoma"/>
          <w:noProof/>
          <w:sz w:val="22"/>
          <w:szCs w:val="22"/>
          <w:lang w:val="sr-Cyrl-RS"/>
        </w:rPr>
        <w:t xml:space="preserve">повећање појединих врста накнада, коју висину локалним прописом утврђује </w:t>
      </w:r>
      <w:r w:rsidR="001E1CA3">
        <w:rPr>
          <w:rFonts w:ascii="Tahoma" w:hAnsi="Tahoma" w:cs="Tahoma"/>
          <w:noProof/>
          <w:sz w:val="22"/>
          <w:szCs w:val="22"/>
          <w:lang w:val="sr-Cyrl-RS"/>
        </w:rPr>
        <w:t>општина</w:t>
      </w:r>
      <w:r w:rsidRPr="00F82A7F">
        <w:rPr>
          <w:rFonts w:ascii="Tahoma" w:hAnsi="Tahoma" w:cs="Tahoma"/>
          <w:noProof/>
          <w:sz w:val="22"/>
          <w:szCs w:val="22"/>
          <w:lang w:val="sr-Cyrl-RS"/>
        </w:rPr>
        <w:t>.</w:t>
      </w:r>
    </w:p>
    <w:p w14:paraId="46C96F9E" w14:textId="56CD2ED9" w:rsidR="002E45B0" w:rsidRPr="00560EA8" w:rsidRDefault="004E7FF2" w:rsidP="000D7F98">
      <w:pPr>
        <w:pStyle w:val="NormalWeb"/>
        <w:spacing w:before="0" w:beforeAutospacing="0" w:after="160" w:line="259" w:lineRule="auto"/>
        <w:jc w:val="both"/>
        <w:rPr>
          <w:rFonts w:ascii="Tahoma" w:hAnsi="Tahoma" w:cs="Tahoma"/>
          <w:noProof/>
          <w:lang w:val="sr-Cyrl-RS"/>
        </w:rPr>
      </w:pPr>
      <w:r w:rsidRPr="004E7FF2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Предлог за просечно смањење расхода буџета </w:t>
      </w:r>
      <w:r w:rsidR="00F05129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општине </w:t>
      </w:r>
      <w:r w:rsidR="00642DCA">
        <w:rPr>
          <w:rFonts w:ascii="Tahoma" w:hAnsi="Tahoma" w:cs="Tahoma"/>
          <w:b/>
          <w:bCs/>
          <w:noProof/>
          <w:sz w:val="22"/>
          <w:szCs w:val="22"/>
          <w:lang w:val="sr-Cyrl-RS"/>
        </w:rPr>
        <w:t>Смедеревска Паланка</w:t>
      </w:r>
      <w:r w:rsidRPr="004E7FF2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износи 5%</w:t>
      </w:r>
      <w:r>
        <w:rPr>
          <w:rFonts w:ascii="Tahoma" w:hAnsi="Tahoma" w:cs="Tahoma"/>
          <w:b/>
          <w:bCs/>
          <w:noProof/>
          <w:sz w:val="22"/>
          <w:szCs w:val="22"/>
          <w:lang w:val="sr-Cyrl-RS"/>
        </w:rPr>
        <w:t>, односно повећање прихода у висини од 3%, све са циљем јачања капацитета за финансирање инвестиција.</w:t>
      </w:r>
      <w:r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8F56EC" w:rsidRPr="00F82A7F">
        <w:rPr>
          <w:rFonts w:ascii="Tahoma" w:hAnsi="Tahoma" w:cs="Tahoma"/>
          <w:noProof/>
          <w:sz w:val="22"/>
          <w:szCs w:val="22"/>
          <w:lang w:val="sr-Cyrl-RS"/>
        </w:rPr>
        <w:t xml:space="preserve">При процени свих ефеката на расходну и приходну страну буџета </w:t>
      </w:r>
      <w:r w:rsidR="00F05129">
        <w:rPr>
          <w:rFonts w:ascii="Tahoma" w:hAnsi="Tahoma" w:cs="Tahoma"/>
          <w:noProof/>
          <w:sz w:val="22"/>
          <w:szCs w:val="22"/>
          <w:lang w:val="sr-Cyrl-RS"/>
        </w:rPr>
        <w:t xml:space="preserve">општине </w:t>
      </w:r>
      <w:r w:rsidR="00642DCA">
        <w:rPr>
          <w:rFonts w:ascii="Tahoma" w:hAnsi="Tahoma" w:cs="Tahoma"/>
          <w:noProof/>
          <w:sz w:val="22"/>
          <w:szCs w:val="22"/>
          <w:lang w:val="sr-Cyrl-RS"/>
        </w:rPr>
        <w:t>Смедеревска Паланка</w:t>
      </w:r>
      <w:r w:rsidR="008F56EC" w:rsidRPr="00F82A7F">
        <w:rPr>
          <w:rFonts w:ascii="Tahoma" w:hAnsi="Tahoma" w:cs="Tahoma"/>
          <w:noProof/>
          <w:sz w:val="22"/>
          <w:szCs w:val="22"/>
          <w:lang w:val="sr-Cyrl-RS"/>
        </w:rPr>
        <w:t>, пошло се од подизања капацитета управљања финансијама на расходној страни и то смањењем појединих врста расхода у распону од 3-4% код корисника буџета који исплаћују зараде запосленима, односно 7-8% код корисника који немају планирана средства за плате на економским класификацијама 411 и 412. Просечна величина смањења расхода у односу на просечно извршење расхода буџета у претходним годинама износи 5%.</w:t>
      </w:r>
      <w:r w:rsidR="00FF38C8" w:rsidRPr="00F82A7F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8F56EC" w:rsidRPr="00F82A7F">
        <w:rPr>
          <w:rFonts w:ascii="Tahoma" w:hAnsi="Tahoma" w:cs="Tahoma"/>
          <w:noProof/>
          <w:sz w:val="22"/>
          <w:szCs w:val="22"/>
          <w:lang w:val="sr-Cyrl-RS"/>
        </w:rPr>
        <w:t>У случају приходне стране, при утврђивању могућности буџета, узети су у обзир годишњи планирани и остварени износи појединих врста изворних јавних прихода у протеклом периоду анализе и утврђена је могућност повећања годишњих износа прихода и примања буџета од најмање 3%.</w:t>
      </w:r>
      <w:r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8F56EC" w:rsidRPr="00EE4F9E">
        <w:rPr>
          <w:rFonts w:ascii="Tahoma" w:hAnsi="Tahoma" w:cs="Tahoma"/>
          <w:noProof/>
          <w:sz w:val="22"/>
          <w:szCs w:val="22"/>
          <w:lang w:val="sr-Cyrl-RS"/>
        </w:rPr>
        <w:t xml:space="preserve">Наредни табеларни приказ (табела бр. </w:t>
      </w:r>
      <w:r w:rsidR="00910B2A" w:rsidRPr="00EE4F9E">
        <w:rPr>
          <w:rFonts w:ascii="Tahoma" w:hAnsi="Tahoma" w:cs="Tahoma"/>
          <w:noProof/>
          <w:sz w:val="22"/>
          <w:szCs w:val="22"/>
          <w:lang w:val="sr-Cyrl-RS"/>
        </w:rPr>
        <w:t>13</w:t>
      </w:r>
      <w:r w:rsidR="008F56EC" w:rsidRPr="00EE4F9E">
        <w:rPr>
          <w:rFonts w:ascii="Tahoma" w:hAnsi="Tahoma" w:cs="Tahoma"/>
          <w:noProof/>
          <w:sz w:val="22"/>
          <w:szCs w:val="22"/>
          <w:lang w:val="sr-Cyrl-RS"/>
        </w:rPr>
        <w:t xml:space="preserve">) </w:t>
      </w:r>
      <w:r w:rsidR="008F56EC" w:rsidRPr="00615F68">
        <w:rPr>
          <w:rFonts w:ascii="Tahoma" w:hAnsi="Tahoma" w:cs="Tahoma"/>
          <w:noProof/>
          <w:sz w:val="22"/>
          <w:szCs w:val="22"/>
          <w:lang w:val="sr-Cyrl-RS"/>
        </w:rPr>
        <w:t xml:space="preserve">указује на могућности локалног буџета, да се кроз мере јачања финансијских капацитета изврши балансирање оквира за финансирање капиталних </w:t>
      </w:r>
      <w:r w:rsidR="008F56EC" w:rsidRPr="00560EA8">
        <w:rPr>
          <w:rFonts w:ascii="Tahoma" w:hAnsi="Tahoma" w:cs="Tahoma"/>
          <w:noProof/>
          <w:sz w:val="22"/>
          <w:szCs w:val="22"/>
          <w:lang w:val="sr-Cyrl-RS"/>
        </w:rPr>
        <w:t xml:space="preserve">инвестиционих расхода – повећање нивоа слободних средстава за инвестиције </w:t>
      </w:r>
      <w:r w:rsidR="00A90B37" w:rsidRPr="00560EA8">
        <w:rPr>
          <w:rFonts w:ascii="Tahoma" w:hAnsi="Tahoma" w:cs="Tahoma"/>
          <w:noProof/>
          <w:sz w:val="22"/>
          <w:szCs w:val="22"/>
          <w:lang w:val="sr-Cyrl-RS"/>
        </w:rPr>
        <w:t>на</w:t>
      </w:r>
      <w:r w:rsidR="008F56EC" w:rsidRPr="00560EA8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D0793E">
        <w:rPr>
          <w:rFonts w:ascii="Tahoma" w:hAnsi="Tahoma" w:cs="Tahoma"/>
          <w:noProof/>
          <w:sz w:val="22"/>
          <w:szCs w:val="22"/>
        </w:rPr>
        <w:t>95,9</w:t>
      </w:r>
      <w:r w:rsidR="00EE4F9E" w:rsidRPr="00560EA8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8F56EC" w:rsidRPr="00560EA8">
        <w:rPr>
          <w:rFonts w:ascii="Tahoma" w:hAnsi="Tahoma" w:cs="Tahoma"/>
          <w:noProof/>
          <w:sz w:val="22"/>
          <w:szCs w:val="22"/>
          <w:lang w:val="sr-Cyrl-RS"/>
        </w:rPr>
        <w:t xml:space="preserve">милиона динара годишње, односно </w:t>
      </w:r>
      <w:r w:rsidR="00D0793E">
        <w:rPr>
          <w:rFonts w:ascii="Tahoma" w:hAnsi="Tahoma" w:cs="Tahoma"/>
          <w:noProof/>
          <w:sz w:val="22"/>
          <w:szCs w:val="22"/>
        </w:rPr>
        <w:t>1,47</w:t>
      </w:r>
      <w:r w:rsidR="00C2452B" w:rsidRPr="00560EA8">
        <w:rPr>
          <w:rFonts w:ascii="Tahoma" w:hAnsi="Tahoma" w:cs="Tahoma"/>
          <w:noProof/>
          <w:sz w:val="22"/>
          <w:szCs w:val="22"/>
          <w:lang w:val="sr-Cyrl-RS"/>
        </w:rPr>
        <w:t xml:space="preserve"> милијарди</w:t>
      </w:r>
      <w:r w:rsidR="008F56EC" w:rsidRPr="00560EA8">
        <w:rPr>
          <w:rFonts w:ascii="Tahoma" w:hAnsi="Tahoma" w:cs="Tahoma"/>
          <w:noProof/>
          <w:sz w:val="22"/>
          <w:szCs w:val="22"/>
          <w:lang w:val="sr-Cyrl-RS"/>
        </w:rPr>
        <w:t xml:space="preserve"> динара за цео период у којем ће се спроводити План развоја </w:t>
      </w:r>
      <w:r w:rsidR="00F05129" w:rsidRPr="00560EA8">
        <w:rPr>
          <w:rFonts w:ascii="Tahoma" w:hAnsi="Tahoma" w:cs="Tahoma"/>
          <w:noProof/>
          <w:sz w:val="22"/>
          <w:szCs w:val="22"/>
          <w:lang w:val="sr-Cyrl-RS"/>
        </w:rPr>
        <w:t>општине</w:t>
      </w:r>
      <w:r w:rsidR="008F56EC" w:rsidRPr="00560EA8">
        <w:rPr>
          <w:rFonts w:ascii="Tahoma" w:hAnsi="Tahoma" w:cs="Tahoma"/>
          <w:noProof/>
          <w:sz w:val="22"/>
          <w:szCs w:val="22"/>
          <w:lang w:val="sr-Cyrl-RS"/>
        </w:rPr>
        <w:t>, укључујући и туђа средства финансирања у виду кредитних извора од пословних банака.</w:t>
      </w:r>
    </w:p>
    <w:p w14:paraId="3ADFF9B1" w14:textId="54BFFF8E" w:rsidR="008F56EC" w:rsidRPr="00910B2A" w:rsidRDefault="008F56EC" w:rsidP="00FA547A">
      <w:pPr>
        <w:pStyle w:val="NormalWeb"/>
        <w:spacing w:before="0" w:beforeAutospacing="0" w:after="120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  <w:r w:rsidRPr="00F82A7F">
        <w:rPr>
          <w:rFonts w:ascii="Tahoma" w:hAnsi="Tahoma" w:cs="Tahoma"/>
          <w:b/>
          <w:noProof/>
          <w:sz w:val="22"/>
          <w:szCs w:val="22"/>
          <w:lang w:val="sr-Cyrl-RS"/>
        </w:rPr>
        <w:t xml:space="preserve">Табела бр. </w:t>
      </w:r>
      <w:r w:rsidR="00910B2A">
        <w:rPr>
          <w:rFonts w:ascii="Tahoma" w:hAnsi="Tahoma" w:cs="Tahoma"/>
          <w:b/>
          <w:noProof/>
          <w:sz w:val="22"/>
          <w:szCs w:val="22"/>
          <w:lang w:val="sr-Cyrl-RS"/>
        </w:rPr>
        <w:t>13</w:t>
      </w:r>
      <w:r w:rsidRPr="00F82A7F">
        <w:rPr>
          <w:rFonts w:ascii="Tahoma" w:hAnsi="Tahoma" w:cs="Tahoma"/>
          <w:b/>
          <w:noProof/>
          <w:sz w:val="22"/>
          <w:szCs w:val="22"/>
          <w:lang w:val="sr-Cyrl-RS"/>
        </w:rPr>
        <w:t xml:space="preserve">.   </w:t>
      </w:r>
      <w:r w:rsidRPr="00910B2A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Приказ расположивих елемената јачања капацитета финансирања инвестиција у </w:t>
      </w:r>
      <w:r w:rsidR="00F05129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општини </w:t>
      </w:r>
      <w:r w:rsidR="00FE27D5">
        <w:rPr>
          <w:rFonts w:ascii="Tahoma" w:hAnsi="Tahoma" w:cs="Tahoma"/>
          <w:bCs/>
          <w:noProof/>
          <w:sz w:val="22"/>
          <w:szCs w:val="22"/>
          <w:lang w:val="sr-Cyrl-RS"/>
        </w:rPr>
        <w:t>С</w:t>
      </w:r>
      <w:r w:rsidR="00D0793E">
        <w:rPr>
          <w:rFonts w:ascii="Tahoma" w:hAnsi="Tahoma" w:cs="Tahoma"/>
          <w:bCs/>
          <w:noProof/>
          <w:sz w:val="22"/>
          <w:szCs w:val="22"/>
          <w:lang w:val="sr-Cyrl-RS"/>
        </w:rPr>
        <w:t>медеревска Паланка</w:t>
      </w:r>
      <w:r w:rsidR="002A0A99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</w:t>
      </w:r>
      <w:r w:rsidRPr="00910B2A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у временском периоду спровођења </w:t>
      </w:r>
      <w:r w:rsidR="00910B2A">
        <w:rPr>
          <w:rFonts w:ascii="Tahoma" w:hAnsi="Tahoma" w:cs="Tahoma"/>
          <w:bCs/>
          <w:noProof/>
          <w:sz w:val="22"/>
          <w:szCs w:val="22"/>
          <w:lang w:val="sr-Cyrl-RS"/>
        </w:rPr>
        <w:t>будућег документа развојног планирања</w:t>
      </w:r>
      <w:r w:rsidRPr="00910B2A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020"/>
        <w:gridCol w:w="4060"/>
        <w:gridCol w:w="2120"/>
        <w:gridCol w:w="2160"/>
      </w:tblGrid>
      <w:tr w:rsidR="00A90B37" w:rsidRPr="00A90B37" w14:paraId="4C863159" w14:textId="77777777" w:rsidTr="003D1491">
        <w:trPr>
          <w:trHeight w:val="20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E9B2D" w14:textId="77777777" w:rsidR="00A90B37" w:rsidRPr="00A90B37" w:rsidRDefault="00A90B37" w:rsidP="00A90B37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3F832" w14:textId="77777777" w:rsidR="00A90B37" w:rsidRPr="00A90B37" w:rsidRDefault="00A90B37" w:rsidP="00A90B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570E7" w14:textId="77777777" w:rsidR="00A90B37" w:rsidRPr="00A90B37" w:rsidRDefault="00A90B37" w:rsidP="00A90B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267C" w14:textId="77777777" w:rsidR="00A90B37" w:rsidRPr="00A90B37" w:rsidRDefault="00A90B37" w:rsidP="00A90B37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A90B37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 000 динара</w:t>
            </w:r>
          </w:p>
        </w:tc>
      </w:tr>
      <w:tr w:rsidR="00A90B37" w:rsidRPr="00A90B37" w14:paraId="0C2F3EF2" w14:textId="77777777" w:rsidTr="003D1491">
        <w:trPr>
          <w:trHeight w:val="780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531FF60D" w14:textId="74393B7B" w:rsidR="00A90B37" w:rsidRPr="00A90B37" w:rsidRDefault="00A90B37" w:rsidP="00A90B37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A90B37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 xml:space="preserve">Елементи и обрачун јачања капацитета управљања финансијама за </w:t>
            </w:r>
            <w:r w:rsidR="000032AC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период од 202</w:t>
            </w:r>
            <w:r w:rsidR="00303116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3</w:t>
            </w:r>
            <w:r w:rsidR="000032AC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 xml:space="preserve"> - 20</w:t>
            </w:r>
            <w:r w:rsidR="00D0793E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30</w:t>
            </w:r>
          </w:p>
        </w:tc>
      </w:tr>
      <w:tr w:rsidR="005E4C53" w:rsidRPr="00A90B37" w14:paraId="32CF32DF" w14:textId="77777777" w:rsidTr="003D1491">
        <w:trPr>
          <w:trHeight w:val="100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0B8E84D0" w14:textId="77777777" w:rsidR="005E4C53" w:rsidRPr="00A90B37" w:rsidRDefault="005E4C53" w:rsidP="005E4C53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A90B37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Редни број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7589CA32" w14:textId="77777777" w:rsidR="005E4C53" w:rsidRPr="00A90B37" w:rsidRDefault="005E4C53" w:rsidP="005E4C53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A90B37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Статистичке могућности и опис мера за јачање капацитета ЈЛС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421EC791" w14:textId="73344191" w:rsidR="005E4C53" w:rsidRPr="00A90B37" w:rsidRDefault="000032AC" w:rsidP="005E4C53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sr-Cyrl-RS"/>
              </w:rPr>
              <w:t>Утицај на годишњем нивоу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31DAD2A1" w14:textId="23F0DBDF" w:rsidR="005E4C53" w:rsidRPr="00A90B37" w:rsidRDefault="000032AC" w:rsidP="005E4C53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sr-Cyrl-RS"/>
              </w:rPr>
              <w:t>Вредност утицаја за период од 202</w:t>
            </w:r>
            <w:r w:rsidR="00303116">
              <w:rPr>
                <w:rFonts w:ascii="Tahoma" w:hAnsi="Tahoma" w:cs="Tahoma"/>
                <w:b/>
                <w:bCs/>
                <w:sz w:val="16"/>
                <w:szCs w:val="16"/>
                <w:lang w:val="sr-Cyrl-RS"/>
              </w:rPr>
              <w:t>3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sr-Cyrl-RS"/>
              </w:rPr>
              <w:t xml:space="preserve"> – 203</w:t>
            </w:r>
            <w:r w:rsidR="00D0793E">
              <w:rPr>
                <w:rFonts w:ascii="Tahoma" w:hAnsi="Tahoma" w:cs="Tahoma"/>
                <w:b/>
                <w:bCs/>
                <w:sz w:val="16"/>
                <w:szCs w:val="16"/>
                <w:lang w:val="sr-Cyrl-RS"/>
              </w:rPr>
              <w:t>0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sr-Cyrl-RS"/>
              </w:rPr>
              <w:t xml:space="preserve"> </w:t>
            </w:r>
          </w:p>
        </w:tc>
      </w:tr>
      <w:tr w:rsidR="00C402CE" w:rsidRPr="00A90B37" w14:paraId="7D710D11" w14:textId="77777777" w:rsidTr="003D1491">
        <w:trPr>
          <w:trHeight w:val="172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5A52" w14:textId="77777777" w:rsidR="00C402CE" w:rsidRPr="00A90B37" w:rsidRDefault="00C402CE" w:rsidP="00C402CE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A90B37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8D64E" w14:textId="1F939A1E" w:rsidR="00C402CE" w:rsidRPr="00A90B37" w:rsidRDefault="00C402CE" w:rsidP="00C402CE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A90B37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 xml:space="preserve">Просечна годишња вредност слободних средстава за капиталне издатке у буџету 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општине</w:t>
            </w:r>
            <w:r w:rsidRPr="00A90B37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 xml:space="preserve"> (укупан реализовани обим прихода буџета без наменских транферних прихода умањен за извршење текућих расхода)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3200" w14:textId="3C8C8FF5" w:rsidR="00C402CE" w:rsidRPr="00A90B37" w:rsidRDefault="00C402CE" w:rsidP="00C402CE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4DE4E" w14:textId="5904E110" w:rsidR="00C402CE" w:rsidRPr="00A90B37" w:rsidRDefault="00C402CE" w:rsidP="00C402CE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C402CE" w:rsidRPr="00A90B37" w14:paraId="5D5E7DE8" w14:textId="77777777" w:rsidTr="003D1491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F359D" w14:textId="77777777" w:rsidR="00C402CE" w:rsidRPr="00A90B37" w:rsidRDefault="00C402CE" w:rsidP="00C402CE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A90B37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lastRenderedPageBreak/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B341" w14:textId="7B75B329" w:rsidR="00C402CE" w:rsidRPr="00A90B37" w:rsidRDefault="00C402CE" w:rsidP="00C402CE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A90B37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 xml:space="preserve">Просечно смањење текућих расхода директних, индиректних и других корисника за 5% у односу на просечно извршење расхода буџета 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општине</w:t>
            </w:r>
            <w:r w:rsidRPr="00A90B37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 xml:space="preserve"> у периоду 2019-2021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1C21F" w14:textId="10A52839" w:rsidR="00C402CE" w:rsidRPr="00A90B37" w:rsidRDefault="00C402CE" w:rsidP="00C402CE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58,187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DC40" w14:textId="726A3CC7" w:rsidR="00C402CE" w:rsidRPr="00A90B37" w:rsidRDefault="00C402CE" w:rsidP="00C402CE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465,496</w:t>
            </w:r>
          </w:p>
        </w:tc>
      </w:tr>
      <w:tr w:rsidR="00C402CE" w:rsidRPr="00A90B37" w14:paraId="1C4E57B1" w14:textId="77777777" w:rsidTr="003D1491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11476" w14:textId="77777777" w:rsidR="00C402CE" w:rsidRPr="00A90B37" w:rsidRDefault="00C402CE" w:rsidP="00C402CE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A90B37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AAAE9" w14:textId="77777777" w:rsidR="00C402CE" w:rsidRPr="00A90B37" w:rsidRDefault="00C402CE" w:rsidP="00C402CE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A90B37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Просечно повећање прихода и примања буџета  за 3% у односу на просечно остварење прихода и примања буџета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BA7C0" w14:textId="5908A87E" w:rsidR="00C402CE" w:rsidRPr="00A90B37" w:rsidRDefault="00C402CE" w:rsidP="00C402CE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37,742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F5B4D" w14:textId="4EB1762C" w:rsidR="00C402CE" w:rsidRPr="00A90B37" w:rsidRDefault="00C402CE" w:rsidP="00C402CE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301,936</w:t>
            </w:r>
          </w:p>
        </w:tc>
      </w:tr>
      <w:tr w:rsidR="00C402CE" w:rsidRPr="00A90B37" w14:paraId="1B9691B0" w14:textId="77777777" w:rsidTr="003D1491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6D60E" w14:textId="77777777" w:rsidR="00C402CE" w:rsidRPr="00A90B37" w:rsidRDefault="00C402CE" w:rsidP="00C402CE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A90B37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9CC5" w14:textId="77777777" w:rsidR="00C402CE" w:rsidRPr="00A90B37" w:rsidRDefault="00C402CE" w:rsidP="00C402CE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A90B37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Кредитни потенцијал за финансирање капиталних инвестиционих расхода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088E" w14:textId="2D870B88" w:rsidR="00C402CE" w:rsidRPr="00A90B37" w:rsidRDefault="00C402CE" w:rsidP="00C402CE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color w:val="C5000B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color w:val="C5000B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22B5D" w14:textId="07994809" w:rsidR="00C402CE" w:rsidRPr="00A90B37" w:rsidRDefault="00C402CE" w:rsidP="00C402CE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706,260</w:t>
            </w:r>
          </w:p>
        </w:tc>
      </w:tr>
      <w:tr w:rsidR="00C402CE" w:rsidRPr="00A90B37" w14:paraId="77453502" w14:textId="77777777" w:rsidTr="003D1491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FCCFF" w14:textId="77777777" w:rsidR="00C402CE" w:rsidRPr="00A90B37" w:rsidRDefault="00C402CE" w:rsidP="00C402CE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A90B37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5E74" w14:textId="77777777" w:rsidR="00C402CE" w:rsidRPr="00A90B37" w:rsidRDefault="00C402CE" w:rsidP="00C402CE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A90B37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Укупна вредност директних могућности буџета, укључујући јачање финансијских капацитета и кредитног потенцијала за финансирање капиталних инвестиционих расхода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C5FE2" w14:textId="5D11E621" w:rsidR="00C402CE" w:rsidRPr="00A90B37" w:rsidRDefault="00C402CE" w:rsidP="00C402CE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95,929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72F7A" w14:textId="79982090" w:rsidR="00C402CE" w:rsidRPr="00A90B37" w:rsidRDefault="00C402CE" w:rsidP="00C402CE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1,473,692</w:t>
            </w:r>
          </w:p>
        </w:tc>
      </w:tr>
    </w:tbl>
    <w:p w14:paraId="2FF156FF" w14:textId="77777777" w:rsidR="00FE166D" w:rsidRPr="00F82A7F" w:rsidRDefault="00FE166D" w:rsidP="00FA547A">
      <w:pPr>
        <w:spacing w:after="120"/>
        <w:jc w:val="both"/>
        <w:rPr>
          <w:rFonts w:ascii="Tahoma" w:hAnsi="Tahoma" w:cs="Tahoma"/>
          <w:iCs/>
          <w:color w:val="00000A"/>
          <w:sz w:val="22"/>
          <w:szCs w:val="22"/>
        </w:rPr>
      </w:pPr>
    </w:p>
    <w:p w14:paraId="09217A36" w14:textId="77777777" w:rsidR="00E63A05" w:rsidRDefault="00E63A05" w:rsidP="000D7F98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</w:pPr>
    </w:p>
    <w:p w14:paraId="78C436DB" w14:textId="0B132C36" w:rsidR="000E52AE" w:rsidRDefault="004E7FF2" w:rsidP="000D7F98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</w:pPr>
      <w:r w:rsidRPr="008379DC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Јачање капацит</w:t>
      </w:r>
      <w:r w:rsidR="00442465" w:rsidRPr="008379DC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ет</w:t>
      </w:r>
      <w:r w:rsidRPr="008379DC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а </w:t>
      </w:r>
      <w:r w:rsidR="00745253" w:rsidRPr="008379DC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општине</w:t>
      </w:r>
      <w:r w:rsidRPr="008379DC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 xml:space="preserve"> за реализацију капиталних инвестиционих пројеката, осим расположивих финансијских ресурса,  зависи и од организационих </w:t>
      </w:r>
      <w:r w:rsidR="00295ED0" w:rsidRPr="008379DC">
        <w:rPr>
          <w:rFonts w:ascii="Tahoma" w:eastAsia="Times New Roman" w:hAnsi="Tahoma" w:cs="Tahoma"/>
          <w:b/>
          <w:bCs/>
          <w:noProof/>
          <w:color w:val="auto"/>
          <w:sz w:val="22"/>
          <w:szCs w:val="22"/>
          <w:lang w:val="sr-Cyrl-RS"/>
        </w:rPr>
        <w:t>способности и кадрова.</w:t>
      </w:r>
      <w:r w:rsidR="00295ED0" w:rsidRPr="008379D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8F56EC" w:rsidRPr="008379D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Финансијски капацитет </w:t>
      </w:r>
      <w:r w:rsidR="00745253" w:rsidRPr="008379D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општине </w:t>
      </w:r>
      <w:r w:rsidR="00C2452B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С</w:t>
      </w:r>
      <w:r w:rsidR="00641D7D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медеревска Паланка</w:t>
      </w:r>
      <w:r w:rsidR="00FD1918" w:rsidRPr="008379D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8F56EC" w:rsidRPr="008379D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се може увећати </w:t>
      </w:r>
      <w:r w:rsidR="00C26CE0" w:rsidRPr="008379D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и додатним </w:t>
      </w:r>
      <w:r w:rsidR="008F56EC" w:rsidRPr="008379DC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развијањем способности и успешности у конкурисању код виших </w:t>
      </w:r>
      <w:r w:rsidR="008F56EC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нивоа власти и осталих донатора (пре свега код фондова ЕУ) за суфинансирање пројеката капиталног инвестиционог карактера</w:t>
      </w:r>
      <w:r w:rsidR="0016171B">
        <w:rPr>
          <w:rFonts w:ascii="Tahoma" w:eastAsia="Times New Roman" w:hAnsi="Tahoma" w:cs="Tahoma"/>
          <w:noProof/>
          <w:color w:val="auto"/>
          <w:sz w:val="22"/>
          <w:szCs w:val="22"/>
          <w:lang w:val="en-US"/>
        </w:rPr>
        <w:t xml:space="preserve">, </w:t>
      </w:r>
      <w:r w:rsidR="0016171B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али и свих других, дефинисаних развојних приоритета</w:t>
      </w:r>
      <w:r w:rsidR="008F56EC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. Наравно за финансирање таквих издатака локалним самоуправама </w:t>
      </w:r>
      <w:r w:rsidR="00B25A97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у Србији </w:t>
      </w:r>
      <w:r w:rsidR="008F56EC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стоје на располагању и други извори, пре свега могућност задуживања код пословних банака, али и кроз издавања муниципалних обвезница или ангажовање капитала кроз јавно-приватна партнерства. Наредни табеларни приказ (табела бр. 1</w:t>
      </w:r>
      <w:r w:rsidR="00EE4F9E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4</w:t>
      </w:r>
      <w:r w:rsidR="008F56EC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) процењује могућности локалног буџета за финансирање планираних капиталних инвестиционих расхода путем суфинансирања. Гледајући кроз призму повећања годишњег капацитета финансирања (из претходно приказане процене) и раздвајања расположивих ресурса на 2 дела (директно финансирање капиталних расхода – 50% и суфинансирање планираних пројеката – 50%), капацитет </w:t>
      </w:r>
      <w:r w:rsidR="0074525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општине </w:t>
      </w:r>
      <w:r w:rsidR="00C2452B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С</w:t>
      </w:r>
      <w:r w:rsidR="00641D7D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медеревска Паланка</w:t>
      </w:r>
      <w:r w:rsidR="008F56EC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за финансирање капиталних инвестиционих </w:t>
      </w:r>
      <w:r w:rsidR="00D009B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из</w:t>
      </w:r>
      <w:r w:rsidR="00295ED0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д</w:t>
      </w:r>
      <w:r w:rsidR="00D009B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атака се </w:t>
      </w:r>
      <w:r w:rsidR="008F56EC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знатно повећава. Наравно, овакав приступ и финансирање инвестиција већих вредности претпоставља знатно унапређење вршења послова који се односе на избор конкурса на којима ће </w:t>
      </w:r>
      <w:r w:rsidR="001E1CA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општина</w:t>
      </w:r>
      <w:r w:rsidR="008F56EC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учествовати, израду пројектне документације, спровођење успешних конкурса и даљег развијања могућности суфинансирања пројеката, укључујући и развој капацитета надлежних одељења у </w:t>
      </w:r>
      <w:r w:rsidR="00745253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Општинској управи општине </w:t>
      </w:r>
      <w:r w:rsidR="00C2452B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С</w:t>
      </w:r>
      <w:r w:rsidR="00641D7D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медеревска Паланка</w:t>
      </w:r>
      <w:r w:rsidR="008F56EC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. У зависности од донатора, степена развијености </w:t>
      </w:r>
      <w:r w:rsidR="00E35395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ЈЛС</w:t>
      </w:r>
      <w:r w:rsidR="008F56EC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и других околности, средства сопственог учешћа могу бити од 10-15% до чак 50%. Процена капацитета је израђена кроз коришћење процента сопственог учешћа на конкурсима у висини од </w:t>
      </w:r>
      <w:r w:rsidR="00641D7D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1</w:t>
      </w:r>
      <w:r w:rsidR="00D009B2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0</w:t>
      </w:r>
      <w:r w:rsidR="008F56EC" w:rsidRPr="00F82A7F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%.</w:t>
      </w:r>
    </w:p>
    <w:p w14:paraId="3C10502C" w14:textId="6280B153" w:rsidR="00FE7AFF" w:rsidRDefault="008F56EC" w:rsidP="000E52AE">
      <w:pPr>
        <w:suppressAutoHyphens w:val="0"/>
        <w:spacing w:after="160" w:line="259" w:lineRule="auto"/>
        <w:jc w:val="both"/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</w:pPr>
      <w:r w:rsidRPr="00F82A7F"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  <w:lastRenderedPageBreak/>
        <w:t>Табела бр. 1</w:t>
      </w:r>
      <w:r w:rsidR="00D009B2"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  <w:t>4</w:t>
      </w:r>
      <w:r w:rsidRPr="00F82A7F"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  <w:t xml:space="preserve">. </w:t>
      </w:r>
      <w:r w:rsidRPr="00D009B2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 xml:space="preserve">Прорачун јачања капацитета </w:t>
      </w:r>
      <w:r w:rsidR="00460542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 xml:space="preserve">општине </w:t>
      </w:r>
      <w:r w:rsidR="00F2743C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>С</w:t>
      </w:r>
      <w:r w:rsidR="004051F2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>медеревска Паланка</w:t>
      </w:r>
      <w:r w:rsidRPr="00D009B2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 xml:space="preserve"> ради финансирања инвестиција у временском периоду спровођења плана развоја</w:t>
      </w:r>
      <w:r w:rsidRPr="00F82A7F">
        <w:rPr>
          <w:rFonts w:ascii="Tahoma" w:eastAsia="Times New Roman" w:hAnsi="Tahoma" w:cs="Tahoma"/>
          <w:b/>
          <w:noProof/>
          <w:color w:val="auto"/>
          <w:sz w:val="22"/>
          <w:szCs w:val="22"/>
          <w:lang w:val="sr-Cyrl-RS"/>
        </w:rPr>
        <w:t xml:space="preserve"> </w:t>
      </w:r>
      <w:r w:rsidR="00D009B2" w:rsidRPr="00D009B2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>(</w:t>
      </w:r>
      <w:r w:rsidR="004051F2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>8</w:t>
      </w:r>
      <w:r w:rsidR="00D009B2" w:rsidRPr="00D009B2">
        <w:rPr>
          <w:rFonts w:ascii="Tahoma" w:eastAsia="Times New Roman" w:hAnsi="Tahoma" w:cs="Tahoma"/>
          <w:bCs/>
          <w:noProof/>
          <w:color w:val="auto"/>
          <w:sz w:val="22"/>
          <w:szCs w:val="22"/>
          <w:lang w:val="sr-Cyrl-RS"/>
        </w:rPr>
        <w:t xml:space="preserve"> година)</w:t>
      </w:r>
      <w:bookmarkStart w:id="3" w:name="_Toc68946207"/>
    </w:p>
    <w:tbl>
      <w:tblPr>
        <w:tblW w:w="9360" w:type="dxa"/>
        <w:tblLook w:val="04A0" w:firstRow="1" w:lastRow="0" w:firstColumn="1" w:lastColumn="0" w:noHBand="0" w:noVBand="1"/>
      </w:tblPr>
      <w:tblGrid>
        <w:gridCol w:w="1020"/>
        <w:gridCol w:w="4020"/>
        <w:gridCol w:w="2160"/>
        <w:gridCol w:w="2160"/>
      </w:tblGrid>
      <w:tr w:rsidR="00CD4F64" w:rsidRPr="00CD4F64" w14:paraId="6C1A4133" w14:textId="77777777" w:rsidTr="00CD4F64">
        <w:trPr>
          <w:trHeight w:val="20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9970" w14:textId="77777777" w:rsidR="00CD4F64" w:rsidRPr="00CD4F64" w:rsidRDefault="00CD4F64" w:rsidP="00CD4F64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4C35" w14:textId="77777777" w:rsidR="00CD4F64" w:rsidRPr="00CD4F64" w:rsidRDefault="00CD4F64" w:rsidP="00CD4F64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6405" w14:textId="77777777" w:rsidR="00CD4F64" w:rsidRPr="00CD4F64" w:rsidRDefault="00CD4F64" w:rsidP="00CD4F64">
            <w:pPr>
              <w:suppressAutoHyphens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FAB2" w14:textId="77777777" w:rsidR="00CD4F64" w:rsidRPr="00CD4F64" w:rsidRDefault="00CD4F64" w:rsidP="00CD4F64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CD4F64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у 000 динара</w:t>
            </w:r>
          </w:p>
        </w:tc>
      </w:tr>
      <w:tr w:rsidR="00CD4F64" w:rsidRPr="00CD4F64" w14:paraId="3F8FA33D" w14:textId="77777777" w:rsidTr="00CD4F64">
        <w:trPr>
          <w:trHeight w:val="795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464426C1" w14:textId="77777777" w:rsidR="00CD4F64" w:rsidRPr="00CD4F64" w:rsidRDefault="00CD4F64" w:rsidP="00CD4F64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CD4F64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Обрачун дирекног и индиректног јачања капацитета буџета општине за финансирање капиталних инвестиционих расхода</w:t>
            </w:r>
          </w:p>
        </w:tc>
      </w:tr>
      <w:tr w:rsidR="00CD4F64" w:rsidRPr="00CD4F64" w14:paraId="5B446ECF" w14:textId="77777777" w:rsidTr="00CD4F64">
        <w:trPr>
          <w:trHeight w:val="13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04762EEF" w14:textId="77777777" w:rsidR="00CD4F64" w:rsidRPr="00CD4F64" w:rsidRDefault="00CD4F64" w:rsidP="00CD4F64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CD4F64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Редни број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44F33D26" w14:textId="77777777" w:rsidR="00CD4F64" w:rsidRPr="00CD4F64" w:rsidRDefault="00CD4F64" w:rsidP="00CD4F64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CD4F64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Опис директног и индиректног утицаја на повећање капацитета за финансирање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427DA8BB" w14:textId="77777777" w:rsidR="00CD4F64" w:rsidRPr="00CD4F64" w:rsidRDefault="00CD4F64" w:rsidP="00CD4F64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CD4F64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Утицај на годишњем нивоу/употреба расположивих средстава за аплицирања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699" w:fill="BDD7EE"/>
            <w:vAlign w:val="center"/>
            <w:hideMark/>
          </w:tcPr>
          <w:p w14:paraId="69BEE42D" w14:textId="49FC0D99" w:rsidR="00CD4F64" w:rsidRPr="00CD4F64" w:rsidRDefault="00CD4F64" w:rsidP="00CD4F64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CD4F64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 xml:space="preserve">Вредност утицаја за период од </w:t>
            </w:r>
            <w:r w:rsidR="004051F2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 xml:space="preserve">8 </w:t>
            </w:r>
            <w:r w:rsidRPr="00CD4F64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година</w:t>
            </w:r>
          </w:p>
        </w:tc>
      </w:tr>
      <w:tr w:rsidR="004051F2" w:rsidRPr="00CD4F64" w14:paraId="39C28351" w14:textId="77777777" w:rsidTr="00CD4F64">
        <w:trPr>
          <w:trHeight w:val="1124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BDA95" w14:textId="77777777" w:rsidR="004051F2" w:rsidRPr="00CD4F64" w:rsidRDefault="004051F2" w:rsidP="004051F2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CD4F64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D68BC" w14:textId="77777777" w:rsidR="004051F2" w:rsidRPr="00CD4F64" w:rsidRDefault="004051F2" w:rsidP="004051F2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CD4F64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Директно коришћење представљених могућности буџета кроз мере јачања финансијских капацитета за потребе финансирања капиталних инвестиционих расхода (50%)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CFA2" w14:textId="36D89C23" w:rsidR="004051F2" w:rsidRPr="00E6670B" w:rsidRDefault="004051F2" w:rsidP="004051F2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47,965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563CD" w14:textId="7CE2AB84" w:rsidR="004051F2" w:rsidRPr="00CD4F64" w:rsidRDefault="004051F2" w:rsidP="004051F2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383,720</w:t>
            </w:r>
          </w:p>
        </w:tc>
      </w:tr>
      <w:tr w:rsidR="004051F2" w:rsidRPr="00CD4F64" w14:paraId="25FD5572" w14:textId="77777777" w:rsidTr="00CD4F64">
        <w:trPr>
          <w:trHeight w:val="17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49E14" w14:textId="77777777" w:rsidR="004051F2" w:rsidRPr="00CD4F64" w:rsidRDefault="004051F2" w:rsidP="004051F2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CD4F64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1556F" w14:textId="0868DCF3" w:rsidR="004051F2" w:rsidRPr="00CD4F64" w:rsidRDefault="004051F2" w:rsidP="004051F2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CD4F64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 xml:space="preserve">Употреба представљених могућности буџета кроз мере јачања финансијских капацитета за потребе финансирања капиталних инвестиционих расхода путем обезбеђења сопственог учешћа на конкурсима расписаних од стране виших нивоа власти и других донатора (просек сопственог учешћа - суфинансирања 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1</w:t>
            </w:r>
            <w:r w:rsidRPr="00CD4F64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0%)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5A04" w14:textId="4F9AB300" w:rsidR="004051F2" w:rsidRPr="00CD4F64" w:rsidRDefault="004051F2" w:rsidP="004051F2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479,650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52B5C" w14:textId="1C5D7640" w:rsidR="004051F2" w:rsidRPr="00CD4F64" w:rsidRDefault="004051F2" w:rsidP="004051F2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3,837,200</w:t>
            </w:r>
          </w:p>
        </w:tc>
      </w:tr>
      <w:tr w:rsidR="004051F2" w:rsidRPr="00CD4F64" w14:paraId="7BBAE186" w14:textId="77777777" w:rsidTr="00CD4F64">
        <w:trPr>
          <w:trHeight w:val="809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3B4E9" w14:textId="77777777" w:rsidR="004051F2" w:rsidRPr="00CD4F64" w:rsidRDefault="004051F2" w:rsidP="004051F2">
            <w:pPr>
              <w:suppressAutoHyphens w:val="0"/>
              <w:jc w:val="center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CD4F64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FEE7E" w14:textId="77777777" w:rsidR="004051F2" w:rsidRPr="00CD4F64" w:rsidRDefault="004051F2" w:rsidP="004051F2">
            <w:pPr>
              <w:suppressAutoHyphens w:val="0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 w:rsidRPr="00CD4F64"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  <w:t>Кредитни потенцијал за финансирање капиталних инвестиционих расхода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D12D1" w14:textId="1529C64A" w:rsidR="004051F2" w:rsidRPr="00CD4F64" w:rsidRDefault="004051F2" w:rsidP="004051F2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7D1DD" w14:textId="2D86C720" w:rsidR="004051F2" w:rsidRPr="00CD4F64" w:rsidRDefault="004051F2" w:rsidP="004051F2">
            <w:pPr>
              <w:suppressAutoHyphens w:val="0"/>
              <w:jc w:val="right"/>
              <w:rPr>
                <w:rFonts w:ascii="Tahoma" w:eastAsia="Times New Roman" w:hAnsi="Tahoma" w:cs="Tahoma"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706,260</w:t>
            </w:r>
          </w:p>
        </w:tc>
      </w:tr>
      <w:tr w:rsidR="004051F2" w:rsidRPr="00CD4F64" w14:paraId="78D1A899" w14:textId="77777777" w:rsidTr="00CD4F64">
        <w:trPr>
          <w:trHeight w:val="130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AD481" w14:textId="77777777" w:rsidR="004051F2" w:rsidRPr="00CD4F64" w:rsidRDefault="004051F2" w:rsidP="004051F2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CD4F64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73865" w14:textId="77777777" w:rsidR="004051F2" w:rsidRPr="00CD4F64" w:rsidRDefault="004051F2" w:rsidP="004051F2">
            <w:pPr>
              <w:suppressAutoHyphens w:val="0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 w:rsidRPr="00CD4F64"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  <w:t>Укупна вредност директних и индиректних могућности буџета, укључујући јачање финансијских капацитета и кредитног потенцијала за финансирање капиталних инвестиционих расхода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B6B3B" w14:textId="44B4FA14" w:rsidR="004051F2" w:rsidRPr="00CD4F64" w:rsidRDefault="004051F2" w:rsidP="004051F2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527,615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7DAFE5" w14:textId="5FE3AEC5" w:rsidR="004051F2" w:rsidRPr="00CD4F64" w:rsidRDefault="004051F2" w:rsidP="004051F2">
            <w:pPr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noProof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4,927,180</w:t>
            </w:r>
          </w:p>
        </w:tc>
      </w:tr>
    </w:tbl>
    <w:p w14:paraId="7D35874F" w14:textId="77777777" w:rsidR="00295ED0" w:rsidRDefault="00295ED0" w:rsidP="000E52AE">
      <w:pPr>
        <w:suppressAutoHyphens w:val="0"/>
        <w:spacing w:after="160" w:line="259" w:lineRule="auto"/>
        <w:jc w:val="both"/>
        <w:rPr>
          <w:noProof/>
          <w:lang w:val="sr-Cyrl-RS"/>
        </w:rPr>
      </w:pPr>
    </w:p>
    <w:p w14:paraId="18196A84" w14:textId="77777777" w:rsidR="00D009B2" w:rsidRPr="00D009B2" w:rsidRDefault="00D009B2" w:rsidP="00D009B2">
      <w:pPr>
        <w:pStyle w:val="BodyText"/>
        <w:rPr>
          <w:lang w:val="sr-Cyrl-RS"/>
        </w:rPr>
      </w:pPr>
    </w:p>
    <w:p w14:paraId="65CBFC40" w14:textId="1D3E4CF5" w:rsidR="00FE166D" w:rsidRDefault="000D7F98" w:rsidP="000D7F98">
      <w:pPr>
        <w:pStyle w:val="Heading3"/>
        <w:numPr>
          <w:ilvl w:val="0"/>
          <w:numId w:val="0"/>
        </w:numPr>
        <w:jc w:val="both"/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sr-Cyrl-RS"/>
        </w:rPr>
      </w:pPr>
      <w:r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sr-Cyrl-RS"/>
        </w:rPr>
        <w:t xml:space="preserve">8. Јавни дуг и обавезе јавних предузећа </w:t>
      </w:r>
      <w:bookmarkEnd w:id="3"/>
    </w:p>
    <w:p w14:paraId="7A1B0F9E" w14:textId="77777777" w:rsidR="000D7F98" w:rsidRPr="000D7F98" w:rsidRDefault="000D7F98" w:rsidP="000D7F98">
      <w:pPr>
        <w:pStyle w:val="BodyText"/>
        <w:rPr>
          <w:lang w:val="sr-Cyrl-RS"/>
        </w:rPr>
      </w:pPr>
    </w:p>
    <w:p w14:paraId="7F6AEE9B" w14:textId="712AAE0F" w:rsidR="001D1F85" w:rsidRDefault="000F5A65" w:rsidP="008F242A">
      <w:pPr>
        <w:pStyle w:val="NormalWeb"/>
        <w:spacing w:before="0" w:beforeAutospacing="0"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Општина </w:t>
      </w:r>
      <w:r w:rsidR="008A7F8F">
        <w:rPr>
          <w:rFonts w:ascii="Tahoma" w:hAnsi="Tahoma" w:cs="Tahoma"/>
          <w:b/>
          <w:bCs/>
          <w:noProof/>
          <w:sz w:val="22"/>
          <w:szCs w:val="22"/>
          <w:lang w:val="sr-Cyrl-RS"/>
        </w:rPr>
        <w:t>С</w:t>
      </w:r>
      <w:r w:rsidR="004051F2">
        <w:rPr>
          <w:rFonts w:ascii="Tahoma" w:hAnsi="Tahoma" w:cs="Tahoma"/>
          <w:b/>
          <w:bCs/>
          <w:noProof/>
          <w:sz w:val="22"/>
          <w:szCs w:val="22"/>
          <w:lang w:val="sr-Cyrl-RS"/>
        </w:rPr>
        <w:t>медеревска Паланка</w:t>
      </w:r>
      <w:r w:rsidR="008A7F8F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</w:t>
      </w:r>
      <w:r w:rsidR="004051F2">
        <w:rPr>
          <w:rFonts w:ascii="Tahoma" w:hAnsi="Tahoma" w:cs="Tahoma"/>
          <w:b/>
          <w:bCs/>
          <w:noProof/>
          <w:sz w:val="22"/>
          <w:szCs w:val="22"/>
          <w:lang w:val="sr-Cyrl-RS"/>
        </w:rPr>
        <w:t>ни</w:t>
      </w:r>
      <w:r w:rsidR="006C1B64" w:rsidRPr="006C1B64">
        <w:rPr>
          <w:rFonts w:ascii="Tahoma" w:hAnsi="Tahoma" w:cs="Tahoma"/>
          <w:b/>
          <w:bCs/>
          <w:noProof/>
          <w:sz w:val="22"/>
          <w:szCs w:val="22"/>
          <w:lang w:val="sr-Cyrl-RS"/>
        </w:rPr>
        <w:t>је кредитно задужен</w:t>
      </w:r>
      <w:r w:rsidR="004051F2">
        <w:rPr>
          <w:rFonts w:ascii="Tahoma" w:hAnsi="Tahoma" w:cs="Tahoma"/>
          <w:b/>
          <w:bCs/>
          <w:noProof/>
          <w:sz w:val="22"/>
          <w:szCs w:val="22"/>
          <w:lang w:val="sr-Cyrl-RS"/>
        </w:rPr>
        <w:t>а</w:t>
      </w:r>
      <w:r w:rsidR="006C1B64" w:rsidRPr="006C1B64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за финансирање капиталних издатака </w:t>
      </w:r>
      <w:r w:rsidR="00D364EA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закључно са </w:t>
      </w:r>
      <w:r w:rsidR="006C1B64" w:rsidRPr="006C1B64">
        <w:rPr>
          <w:rFonts w:ascii="Tahoma" w:hAnsi="Tahoma" w:cs="Tahoma"/>
          <w:b/>
          <w:bCs/>
          <w:noProof/>
          <w:sz w:val="22"/>
          <w:szCs w:val="22"/>
          <w:lang w:val="sr-Cyrl-RS"/>
        </w:rPr>
        <w:t>31.12.2021. године</w:t>
      </w:r>
      <w:r w:rsidR="00BB5773">
        <w:rPr>
          <w:rFonts w:ascii="Tahoma" w:hAnsi="Tahoma" w:cs="Tahoma"/>
          <w:b/>
          <w:bCs/>
          <w:noProof/>
          <w:sz w:val="22"/>
          <w:szCs w:val="22"/>
          <w:lang w:val="sr-Cyrl-RS"/>
        </w:rPr>
        <w:t>.</w:t>
      </w:r>
      <w:r w:rsidR="006C1B64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8F56EC" w:rsidRPr="006C1B64">
        <w:rPr>
          <w:rFonts w:ascii="Tahoma" w:hAnsi="Tahoma" w:cs="Tahoma"/>
          <w:noProof/>
          <w:sz w:val="22"/>
          <w:szCs w:val="22"/>
          <w:lang w:val="sr-Cyrl-RS"/>
        </w:rPr>
        <w:t>Основни принцип управљања јавним дугом представља обезбеђивање редовног сервисирања буџетских потреба по најниже могућим трошковима уз прихватљив ниво ризика.</w:t>
      </w:r>
      <w:r w:rsidR="008F56EC" w:rsidRPr="00F82A7F">
        <w:rPr>
          <w:rFonts w:ascii="Tahoma" w:hAnsi="Tahoma" w:cs="Tahoma"/>
          <w:noProof/>
          <w:sz w:val="22"/>
          <w:szCs w:val="22"/>
          <w:lang w:val="sr-Cyrl-RS"/>
        </w:rPr>
        <w:t xml:space="preserve"> Правно уређење области јавног дуга, као што је већ наведено</w:t>
      </w:r>
      <w:r w:rsidR="006C1B64">
        <w:rPr>
          <w:rFonts w:ascii="Tahoma" w:hAnsi="Tahoma" w:cs="Tahoma"/>
          <w:noProof/>
          <w:sz w:val="22"/>
          <w:szCs w:val="22"/>
          <w:lang w:val="sr-Cyrl-RS"/>
        </w:rPr>
        <w:t>,</w:t>
      </w:r>
      <w:r w:rsidR="008F56EC" w:rsidRPr="00F82A7F">
        <w:rPr>
          <w:rFonts w:ascii="Tahoma" w:hAnsi="Tahoma" w:cs="Tahoma"/>
          <w:noProof/>
          <w:sz w:val="22"/>
          <w:szCs w:val="22"/>
          <w:lang w:val="sr-Cyrl-RS"/>
        </w:rPr>
        <w:t xml:space="preserve"> утврђено је Законом о јавном дугу</w:t>
      </w:r>
      <w:r w:rsidR="00226F69" w:rsidRPr="00F82A7F">
        <w:rPr>
          <w:rStyle w:val="FootnoteReference"/>
          <w:rFonts w:ascii="Tahoma" w:hAnsi="Tahoma" w:cs="Tahoma"/>
          <w:noProof/>
          <w:sz w:val="22"/>
          <w:szCs w:val="22"/>
          <w:lang w:val="sr-Cyrl-RS"/>
        </w:rPr>
        <w:footnoteReference w:id="13"/>
      </w:r>
      <w:r w:rsidR="008F56EC" w:rsidRPr="00F82A7F">
        <w:rPr>
          <w:rFonts w:ascii="Tahoma" w:hAnsi="Tahoma" w:cs="Tahoma"/>
          <w:noProof/>
          <w:sz w:val="22"/>
          <w:szCs w:val="22"/>
          <w:lang w:val="sr-Cyrl-RS"/>
        </w:rPr>
        <w:t>, којим су уређени услови, начин и поступак задуживања Републике Србије, јединица територијалне аутономије и локалне самоуправе, организација обавезног социјалног осигурања, као и јавних предузећа и других правних лица, чији је оснивач Република, односно давање гаранција Републике, начин и поступак управљања јавним дугом и вођење евиденције о јавном дугу.</w:t>
      </w:r>
      <w:r w:rsidR="006C1B64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8F56EC" w:rsidRPr="006C1B64">
        <w:rPr>
          <w:rFonts w:ascii="Tahoma" w:hAnsi="Tahoma" w:cs="Tahoma"/>
          <w:noProof/>
          <w:sz w:val="22"/>
          <w:szCs w:val="22"/>
          <w:lang w:val="sr-Cyrl-RS"/>
        </w:rPr>
        <w:t xml:space="preserve">Месечни </w:t>
      </w:r>
      <w:r w:rsidR="008F56EC" w:rsidRPr="006C1B64">
        <w:rPr>
          <w:rFonts w:ascii="Tahoma" w:hAnsi="Tahoma" w:cs="Tahoma"/>
          <w:noProof/>
          <w:sz w:val="22"/>
          <w:szCs w:val="22"/>
          <w:lang w:val="sr-Cyrl-RS"/>
        </w:rPr>
        <w:lastRenderedPageBreak/>
        <w:t xml:space="preserve">извештај о стању и структури јавног дуга </w:t>
      </w:r>
      <w:r w:rsidR="008F56EC" w:rsidRPr="00F82A7F">
        <w:rPr>
          <w:rFonts w:ascii="Tahoma" w:hAnsi="Tahoma" w:cs="Tahoma"/>
          <w:noProof/>
          <w:sz w:val="22"/>
          <w:szCs w:val="22"/>
          <w:lang w:val="sr-Cyrl-RS"/>
        </w:rPr>
        <w:t xml:space="preserve">који се објављује на званичној интернет презентацији Управе за јавни дуг, осим података о стању, структури и кретању јавног дуга Републике Србије, учешћа јавног дуга у бруто домаћем производу, валутној структури и структури каматних стопа, у посебним деловима се бави, анализира и укључује податке о стању и структури дуга јединица локалне власти, валутној и каматној структури дуга, податке о врсти кредитора за локалну власт и показатеље ризика дуга јединице локалне власти. </w:t>
      </w:r>
      <w:r w:rsidR="008A7F8F">
        <w:rPr>
          <w:rFonts w:ascii="Tahoma" w:hAnsi="Tahoma" w:cs="Tahoma"/>
          <w:noProof/>
          <w:sz w:val="22"/>
          <w:szCs w:val="22"/>
          <w:lang w:val="sr-Cyrl-RS"/>
        </w:rPr>
        <w:t>Према наведеном извештају стање недоспелог дуга општине С</w:t>
      </w:r>
      <w:r w:rsidR="00B32EF0">
        <w:rPr>
          <w:rFonts w:ascii="Tahoma" w:hAnsi="Tahoma" w:cs="Tahoma"/>
          <w:noProof/>
          <w:sz w:val="22"/>
          <w:szCs w:val="22"/>
          <w:lang w:val="sr-Cyrl-RS"/>
        </w:rPr>
        <w:t xml:space="preserve">медеревска Паланка </w:t>
      </w:r>
      <w:r w:rsidR="008A7F8F">
        <w:rPr>
          <w:rFonts w:ascii="Tahoma" w:hAnsi="Tahoma" w:cs="Tahoma"/>
          <w:noProof/>
          <w:sz w:val="22"/>
          <w:szCs w:val="22"/>
          <w:lang w:val="sr-Cyrl-RS"/>
        </w:rPr>
        <w:t xml:space="preserve"> на дан 31.12.2021. године износи </w:t>
      </w:r>
      <w:r w:rsidR="00B32EF0">
        <w:rPr>
          <w:rFonts w:ascii="Tahoma" w:hAnsi="Tahoma" w:cs="Tahoma"/>
          <w:noProof/>
          <w:sz w:val="22"/>
          <w:szCs w:val="22"/>
          <w:lang w:val="sr-Cyrl-RS"/>
        </w:rPr>
        <w:t>0,00</w:t>
      </w:r>
      <w:r w:rsidR="00BD4FA3">
        <w:rPr>
          <w:rFonts w:ascii="Tahoma" w:hAnsi="Tahoma" w:cs="Tahoma"/>
          <w:noProof/>
          <w:sz w:val="22"/>
          <w:szCs w:val="22"/>
          <w:lang w:val="sr-Cyrl-RS"/>
        </w:rPr>
        <w:t xml:space="preserve"> динара.</w:t>
      </w:r>
    </w:p>
    <w:p w14:paraId="53E002D5" w14:textId="008CCB65" w:rsidR="00E037C3" w:rsidRPr="003B4AB2" w:rsidRDefault="006C1B64" w:rsidP="00E037C3">
      <w:pPr>
        <w:pStyle w:val="NormalWeb"/>
        <w:spacing w:before="0" w:beforeAutospacing="0"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3B4AB2">
        <w:rPr>
          <w:rFonts w:ascii="Tahoma" w:hAnsi="Tahoma" w:cs="Tahoma"/>
          <w:b/>
          <w:bCs/>
          <w:noProof/>
          <w:sz w:val="22"/>
          <w:szCs w:val="22"/>
          <w:lang w:val="sr-Cyrl-RS"/>
        </w:rPr>
        <w:t>Финансијска позиција основан</w:t>
      </w:r>
      <w:r w:rsidR="0080089C">
        <w:rPr>
          <w:rFonts w:ascii="Tahoma" w:hAnsi="Tahoma" w:cs="Tahoma"/>
          <w:b/>
          <w:bCs/>
          <w:noProof/>
          <w:sz w:val="22"/>
          <w:szCs w:val="22"/>
          <w:lang w:val="sr-Cyrl-RS"/>
        </w:rPr>
        <w:t>их</w:t>
      </w:r>
      <w:r w:rsidRPr="003B4AB2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јавн</w:t>
      </w:r>
      <w:r w:rsidR="0080089C">
        <w:rPr>
          <w:rFonts w:ascii="Tahoma" w:hAnsi="Tahoma" w:cs="Tahoma"/>
          <w:b/>
          <w:bCs/>
          <w:noProof/>
          <w:sz w:val="22"/>
          <w:szCs w:val="22"/>
          <w:lang w:val="sr-Cyrl-RS"/>
        </w:rPr>
        <w:t>их</w:t>
      </w:r>
      <w:r w:rsidRPr="003B4AB2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предузећа од стране </w:t>
      </w:r>
      <w:r w:rsidR="00AC644E" w:rsidRPr="003B4AB2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општине </w:t>
      </w:r>
      <w:r w:rsidR="00BD4FA3">
        <w:rPr>
          <w:rFonts w:ascii="Tahoma" w:hAnsi="Tahoma" w:cs="Tahoma"/>
          <w:b/>
          <w:bCs/>
          <w:noProof/>
          <w:sz w:val="22"/>
          <w:szCs w:val="22"/>
          <w:lang w:val="sr-Cyrl-RS"/>
        </w:rPr>
        <w:t>С</w:t>
      </w:r>
      <w:r w:rsidR="0080089C">
        <w:rPr>
          <w:rFonts w:ascii="Tahoma" w:hAnsi="Tahoma" w:cs="Tahoma"/>
          <w:b/>
          <w:bCs/>
          <w:noProof/>
          <w:sz w:val="22"/>
          <w:szCs w:val="22"/>
          <w:lang w:val="sr-Cyrl-RS"/>
        </w:rPr>
        <w:t>медеревска Паланка</w:t>
      </w:r>
      <w:r w:rsidR="00465E50" w:rsidRPr="003B4AB2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</w:t>
      </w:r>
      <w:r w:rsidRPr="003B4AB2">
        <w:rPr>
          <w:rFonts w:ascii="Tahoma" w:hAnsi="Tahoma" w:cs="Tahoma"/>
          <w:b/>
          <w:bCs/>
          <w:noProof/>
          <w:sz w:val="22"/>
          <w:szCs w:val="22"/>
          <w:lang w:val="sr-Cyrl-RS"/>
        </w:rPr>
        <w:t>је</w:t>
      </w:r>
      <w:r w:rsidR="0080089C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недовољно</w:t>
      </w:r>
      <w:r w:rsidRPr="003B4AB2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</w:t>
      </w:r>
      <w:r w:rsidR="00186F40" w:rsidRPr="003B4AB2">
        <w:rPr>
          <w:rFonts w:ascii="Tahoma" w:hAnsi="Tahoma" w:cs="Tahoma"/>
          <w:b/>
          <w:bCs/>
          <w:noProof/>
          <w:sz w:val="22"/>
          <w:szCs w:val="22"/>
          <w:lang w:val="sr-Cyrl-RS"/>
        </w:rPr>
        <w:t>стабилна</w:t>
      </w:r>
      <w:r w:rsidRPr="003B4AB2">
        <w:rPr>
          <w:rFonts w:ascii="Tahoma" w:hAnsi="Tahoma" w:cs="Tahoma"/>
          <w:b/>
          <w:bCs/>
          <w:noProof/>
          <w:sz w:val="22"/>
          <w:szCs w:val="22"/>
          <w:lang w:val="sr-Cyrl-RS"/>
        </w:rPr>
        <w:t>.</w:t>
      </w:r>
      <w:r w:rsidRPr="003B4AB2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CA4556" w:rsidRPr="003B4AB2">
        <w:rPr>
          <w:rFonts w:ascii="Tahoma" w:hAnsi="Tahoma" w:cs="Tahoma"/>
          <w:noProof/>
          <w:sz w:val="22"/>
          <w:szCs w:val="22"/>
          <w:lang w:val="sr-Cyrl-RS"/>
        </w:rPr>
        <w:t xml:space="preserve">На територији </w:t>
      </w:r>
      <w:r w:rsidR="004E21B4" w:rsidRPr="003B4AB2">
        <w:rPr>
          <w:rFonts w:ascii="Tahoma" w:hAnsi="Tahoma" w:cs="Tahoma"/>
          <w:noProof/>
          <w:sz w:val="22"/>
          <w:szCs w:val="22"/>
          <w:lang w:val="sr-Cyrl-RS"/>
        </w:rPr>
        <w:t>општине</w:t>
      </w:r>
      <w:r w:rsidR="00880B2A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1B2FA0">
        <w:rPr>
          <w:rFonts w:ascii="Tahoma" w:hAnsi="Tahoma" w:cs="Tahoma"/>
          <w:noProof/>
          <w:sz w:val="22"/>
          <w:szCs w:val="22"/>
          <w:lang w:val="sr-Cyrl-RS"/>
        </w:rPr>
        <w:t xml:space="preserve">Смедеревска Паланка </w:t>
      </w:r>
      <w:r w:rsidR="00CA4556" w:rsidRPr="003B4AB2">
        <w:rPr>
          <w:rFonts w:ascii="Tahoma" w:hAnsi="Tahoma" w:cs="Tahoma"/>
          <w:noProof/>
          <w:sz w:val="22"/>
          <w:szCs w:val="22"/>
          <w:lang w:val="sr-Cyrl-RS"/>
        </w:rPr>
        <w:t xml:space="preserve">функционише </w:t>
      </w:r>
      <w:r w:rsidR="0080089C">
        <w:rPr>
          <w:rFonts w:ascii="Tahoma" w:hAnsi="Tahoma" w:cs="Tahoma"/>
          <w:noProof/>
          <w:sz w:val="22"/>
          <w:szCs w:val="22"/>
          <w:lang w:val="sr-Cyrl-RS"/>
        </w:rPr>
        <w:t>пет јавних предузећа</w:t>
      </w:r>
      <w:r w:rsidR="006B20B8" w:rsidRPr="00626A02">
        <w:rPr>
          <w:rFonts w:ascii="Tahoma" w:hAnsi="Tahoma" w:cs="Tahoma"/>
          <w:noProof/>
          <w:sz w:val="22"/>
          <w:szCs w:val="22"/>
          <w:lang w:val="sr-Cyrl-RS"/>
        </w:rPr>
        <w:t xml:space="preserve">. </w:t>
      </w:r>
      <w:r w:rsidR="00AA58B4" w:rsidRPr="00626A02">
        <w:rPr>
          <w:rFonts w:ascii="Tahoma" w:hAnsi="Tahoma" w:cs="Tahoma"/>
          <w:noProof/>
          <w:sz w:val="22"/>
          <w:szCs w:val="22"/>
          <w:lang w:val="sr-Cyrl-RS"/>
        </w:rPr>
        <w:t>Пр</w:t>
      </w:r>
      <w:r w:rsidR="00CA4556" w:rsidRPr="00626A02">
        <w:rPr>
          <w:rFonts w:ascii="Tahoma" w:hAnsi="Tahoma" w:cs="Tahoma"/>
          <w:noProof/>
          <w:sz w:val="22"/>
          <w:szCs w:val="22"/>
          <w:lang w:val="sr-Cyrl-RS"/>
        </w:rPr>
        <w:t>осечан број запослених у наведен</w:t>
      </w:r>
      <w:r w:rsidR="00DD5FEB">
        <w:rPr>
          <w:rFonts w:ascii="Tahoma" w:hAnsi="Tahoma" w:cs="Tahoma"/>
          <w:noProof/>
          <w:sz w:val="22"/>
          <w:szCs w:val="22"/>
          <w:lang w:val="sr-Cyrl-RS"/>
        </w:rPr>
        <w:t>и</w:t>
      </w:r>
      <w:r w:rsidR="006B20B8" w:rsidRPr="00626A02">
        <w:rPr>
          <w:rFonts w:ascii="Tahoma" w:hAnsi="Tahoma" w:cs="Tahoma"/>
          <w:noProof/>
          <w:sz w:val="22"/>
          <w:szCs w:val="22"/>
          <w:lang w:val="sr-Cyrl-RS"/>
        </w:rPr>
        <w:t>м</w:t>
      </w:r>
      <w:r w:rsidR="00CA4556" w:rsidRPr="00626A02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CA4556" w:rsidRPr="003B4AB2">
        <w:rPr>
          <w:rFonts w:ascii="Tahoma" w:hAnsi="Tahoma" w:cs="Tahoma"/>
          <w:noProof/>
          <w:sz w:val="22"/>
          <w:szCs w:val="22"/>
          <w:lang w:val="sr-Cyrl-RS"/>
        </w:rPr>
        <w:t>јавн</w:t>
      </w:r>
      <w:r w:rsidR="00DD5FEB">
        <w:rPr>
          <w:rFonts w:ascii="Tahoma" w:hAnsi="Tahoma" w:cs="Tahoma"/>
          <w:noProof/>
          <w:sz w:val="22"/>
          <w:szCs w:val="22"/>
          <w:lang w:val="sr-Cyrl-RS"/>
        </w:rPr>
        <w:t>и</w:t>
      </w:r>
      <w:r w:rsidR="00CA4556" w:rsidRPr="003B4AB2">
        <w:rPr>
          <w:rFonts w:ascii="Tahoma" w:hAnsi="Tahoma" w:cs="Tahoma"/>
          <w:noProof/>
          <w:sz w:val="22"/>
          <w:szCs w:val="22"/>
          <w:lang w:val="sr-Cyrl-RS"/>
        </w:rPr>
        <w:t>м предузе</w:t>
      </w:r>
      <w:r w:rsidR="006B714B">
        <w:rPr>
          <w:rFonts w:ascii="Tahoma" w:hAnsi="Tahoma" w:cs="Tahoma"/>
          <w:noProof/>
          <w:sz w:val="22"/>
          <w:szCs w:val="22"/>
          <w:lang w:val="sr-Cyrl-RS"/>
        </w:rPr>
        <w:t>ћ</w:t>
      </w:r>
      <w:r w:rsidR="00DD5FEB">
        <w:rPr>
          <w:rFonts w:ascii="Tahoma" w:hAnsi="Tahoma" w:cs="Tahoma"/>
          <w:noProof/>
          <w:sz w:val="22"/>
          <w:szCs w:val="22"/>
          <w:lang w:val="sr-Cyrl-RS"/>
        </w:rPr>
        <w:t>има</w:t>
      </w:r>
      <w:r w:rsidR="00CA4556" w:rsidRPr="003B4AB2">
        <w:rPr>
          <w:rFonts w:ascii="Tahoma" w:hAnsi="Tahoma" w:cs="Tahoma"/>
          <w:noProof/>
          <w:sz w:val="22"/>
          <w:szCs w:val="22"/>
          <w:lang w:val="sr-Cyrl-RS"/>
        </w:rPr>
        <w:t xml:space="preserve"> је </w:t>
      </w:r>
      <w:r w:rsidR="00880B2A">
        <w:rPr>
          <w:rFonts w:ascii="Tahoma" w:hAnsi="Tahoma" w:cs="Tahoma"/>
          <w:noProof/>
          <w:sz w:val="22"/>
          <w:szCs w:val="22"/>
          <w:lang w:val="sr-Cyrl-RS"/>
        </w:rPr>
        <w:t>1</w:t>
      </w:r>
      <w:r w:rsidR="00DD5FEB">
        <w:rPr>
          <w:rFonts w:ascii="Tahoma" w:hAnsi="Tahoma" w:cs="Tahoma"/>
          <w:noProof/>
          <w:sz w:val="22"/>
          <w:szCs w:val="22"/>
          <w:lang w:val="sr-Cyrl-RS"/>
        </w:rPr>
        <w:t>14</w:t>
      </w:r>
      <w:r w:rsidR="008F410B" w:rsidRPr="003B4AB2">
        <w:rPr>
          <w:rFonts w:ascii="Tahoma" w:hAnsi="Tahoma" w:cs="Tahoma"/>
          <w:noProof/>
          <w:sz w:val="22"/>
          <w:szCs w:val="22"/>
          <w:lang w:val="sr-Cyrl-RS"/>
        </w:rPr>
        <w:t xml:space="preserve">, док је просечан годишњи приход </w:t>
      </w:r>
      <w:r w:rsidR="00DD5FEB">
        <w:rPr>
          <w:rFonts w:ascii="Tahoma" w:hAnsi="Tahoma" w:cs="Tahoma"/>
          <w:noProof/>
          <w:sz w:val="22"/>
          <w:szCs w:val="22"/>
          <w:lang w:val="sr-Cyrl-RS"/>
        </w:rPr>
        <w:t xml:space="preserve">свиј ЈП </w:t>
      </w:r>
      <w:r w:rsidR="00094817" w:rsidRPr="003B4AB2">
        <w:rPr>
          <w:rFonts w:ascii="Tahoma" w:hAnsi="Tahoma" w:cs="Tahoma"/>
          <w:noProof/>
          <w:sz w:val="22"/>
          <w:szCs w:val="22"/>
          <w:lang w:val="sr-Cyrl-RS"/>
        </w:rPr>
        <w:t xml:space="preserve">у последње три године износи </w:t>
      </w:r>
      <w:r w:rsidR="00DD5FEB">
        <w:rPr>
          <w:rFonts w:ascii="Tahoma" w:hAnsi="Tahoma" w:cs="Tahoma"/>
          <w:noProof/>
          <w:sz w:val="22"/>
          <w:szCs w:val="22"/>
          <w:lang w:val="sr-Cyrl-RS"/>
        </w:rPr>
        <w:t xml:space="preserve">275 </w:t>
      </w:r>
      <w:r w:rsidR="00094817" w:rsidRPr="003B4AB2">
        <w:rPr>
          <w:rFonts w:ascii="Tahoma" w:hAnsi="Tahoma" w:cs="Tahoma"/>
          <w:noProof/>
          <w:sz w:val="22"/>
          <w:szCs w:val="22"/>
          <w:lang w:val="sr-Cyrl-RS"/>
        </w:rPr>
        <w:t>милиона динара.</w:t>
      </w:r>
      <w:r w:rsidR="008F410B" w:rsidRPr="003B4AB2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0B286B" w:rsidRPr="003B4AB2">
        <w:rPr>
          <w:rFonts w:ascii="Tahoma" w:hAnsi="Tahoma" w:cs="Tahoma"/>
          <w:noProof/>
          <w:sz w:val="22"/>
          <w:szCs w:val="22"/>
          <w:lang w:val="sr-Cyrl-RS"/>
        </w:rPr>
        <w:t>У структури укупних обавеза јавн</w:t>
      </w:r>
      <w:r w:rsidR="00DD5FEB">
        <w:rPr>
          <w:rFonts w:ascii="Tahoma" w:hAnsi="Tahoma" w:cs="Tahoma"/>
          <w:noProof/>
          <w:sz w:val="22"/>
          <w:szCs w:val="22"/>
          <w:lang w:val="sr-Cyrl-RS"/>
        </w:rPr>
        <w:t>их</w:t>
      </w:r>
      <w:r w:rsidR="000B286B" w:rsidRPr="003B4AB2">
        <w:rPr>
          <w:rFonts w:ascii="Tahoma" w:hAnsi="Tahoma" w:cs="Tahoma"/>
          <w:noProof/>
          <w:sz w:val="22"/>
          <w:szCs w:val="22"/>
          <w:lang w:val="sr-Cyrl-RS"/>
        </w:rPr>
        <w:t xml:space="preserve"> предузећа </w:t>
      </w:r>
      <w:r w:rsidR="00B9399E">
        <w:rPr>
          <w:rFonts w:ascii="Tahoma" w:hAnsi="Tahoma" w:cs="Tahoma"/>
          <w:noProof/>
          <w:sz w:val="22"/>
          <w:szCs w:val="22"/>
          <w:lang w:val="sr-Cyrl-RS"/>
        </w:rPr>
        <w:t>100</w:t>
      </w:r>
      <w:r w:rsidR="000B286B" w:rsidRPr="003B4AB2">
        <w:rPr>
          <w:rFonts w:ascii="Tahoma" w:hAnsi="Tahoma" w:cs="Tahoma"/>
          <w:noProof/>
          <w:sz w:val="22"/>
          <w:szCs w:val="22"/>
          <w:lang w:val="sr-Cyrl-RS"/>
        </w:rPr>
        <w:t>% су краткорочне обавезе из пословања</w:t>
      </w:r>
      <w:r w:rsidR="00C51B4A">
        <w:rPr>
          <w:rFonts w:ascii="Tahoma" w:hAnsi="Tahoma" w:cs="Tahoma"/>
          <w:noProof/>
          <w:sz w:val="22"/>
          <w:szCs w:val="22"/>
          <w:lang w:val="sr-Cyrl-RS"/>
        </w:rPr>
        <w:t>, а н</w:t>
      </w:r>
      <w:r w:rsidR="008F410B" w:rsidRPr="003B4AB2">
        <w:rPr>
          <w:rFonts w:ascii="Tahoma" w:hAnsi="Tahoma" w:cs="Tahoma"/>
          <w:noProof/>
          <w:sz w:val="22"/>
          <w:szCs w:val="22"/>
          <w:lang w:val="sr-Cyrl-RS"/>
        </w:rPr>
        <w:t xml:space="preserve">иво </w:t>
      </w:r>
      <w:r w:rsidR="00094817" w:rsidRPr="003B4AB2">
        <w:rPr>
          <w:rFonts w:ascii="Tahoma" w:hAnsi="Tahoma" w:cs="Tahoma"/>
          <w:noProof/>
          <w:sz w:val="22"/>
          <w:szCs w:val="22"/>
          <w:lang w:val="sr-Cyrl-RS"/>
        </w:rPr>
        <w:t>свих</w:t>
      </w:r>
      <w:r w:rsidR="008F410B" w:rsidRPr="003B4AB2">
        <w:rPr>
          <w:rFonts w:ascii="Tahoma" w:hAnsi="Tahoma" w:cs="Tahoma"/>
          <w:noProof/>
          <w:sz w:val="22"/>
          <w:szCs w:val="22"/>
          <w:lang w:val="sr-Cyrl-RS"/>
        </w:rPr>
        <w:t xml:space="preserve"> обавеза јавн</w:t>
      </w:r>
      <w:r w:rsidR="00DD5FEB">
        <w:rPr>
          <w:rFonts w:ascii="Tahoma" w:hAnsi="Tahoma" w:cs="Tahoma"/>
          <w:noProof/>
          <w:sz w:val="22"/>
          <w:szCs w:val="22"/>
          <w:lang w:val="sr-Cyrl-RS"/>
        </w:rPr>
        <w:t>их</w:t>
      </w:r>
      <w:r w:rsidR="00094817" w:rsidRPr="003B4AB2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E037C3" w:rsidRPr="003B4AB2">
        <w:rPr>
          <w:rFonts w:ascii="Tahoma" w:hAnsi="Tahoma" w:cs="Tahoma"/>
          <w:noProof/>
          <w:sz w:val="22"/>
          <w:szCs w:val="22"/>
          <w:lang w:val="sr-Cyrl-RS"/>
        </w:rPr>
        <w:t xml:space="preserve">предузећа основаног од стране општине </w:t>
      </w:r>
      <w:r w:rsidR="00C51B4A">
        <w:rPr>
          <w:rFonts w:ascii="Tahoma" w:hAnsi="Tahoma" w:cs="Tahoma"/>
          <w:noProof/>
          <w:sz w:val="22"/>
          <w:szCs w:val="22"/>
          <w:lang w:val="sr-Cyrl-RS"/>
        </w:rPr>
        <w:t xml:space="preserve">на дан 31.12.2021. године </w:t>
      </w:r>
      <w:r w:rsidR="00E037C3" w:rsidRPr="003B4AB2">
        <w:rPr>
          <w:rFonts w:ascii="Tahoma" w:hAnsi="Tahoma" w:cs="Tahoma"/>
          <w:noProof/>
          <w:sz w:val="22"/>
          <w:szCs w:val="22"/>
          <w:lang w:val="sr-Cyrl-RS"/>
        </w:rPr>
        <w:t xml:space="preserve">износи </w:t>
      </w:r>
      <w:r w:rsidR="00DD5FEB">
        <w:rPr>
          <w:rFonts w:ascii="Tahoma" w:hAnsi="Tahoma" w:cs="Tahoma"/>
          <w:noProof/>
          <w:sz w:val="22"/>
          <w:szCs w:val="22"/>
          <w:lang w:val="sr-Cyrl-RS"/>
        </w:rPr>
        <w:t>876</w:t>
      </w:r>
      <w:r w:rsidR="00E037C3" w:rsidRPr="003B4AB2">
        <w:rPr>
          <w:rFonts w:ascii="Tahoma" w:hAnsi="Tahoma" w:cs="Tahoma"/>
          <w:noProof/>
          <w:sz w:val="22"/>
          <w:szCs w:val="22"/>
          <w:lang w:val="sr-Cyrl-RS"/>
        </w:rPr>
        <w:t xml:space="preserve"> милиона динара, </w:t>
      </w:r>
      <w:r w:rsidR="00291F51">
        <w:rPr>
          <w:rFonts w:ascii="Tahoma" w:hAnsi="Tahoma" w:cs="Tahoma"/>
          <w:noProof/>
          <w:sz w:val="22"/>
          <w:szCs w:val="22"/>
          <w:lang w:val="sr-Cyrl-RS"/>
        </w:rPr>
        <w:t xml:space="preserve">док је </w:t>
      </w:r>
      <w:r w:rsidR="00DD5FEB">
        <w:rPr>
          <w:rFonts w:ascii="Tahoma" w:hAnsi="Tahoma" w:cs="Tahoma"/>
          <w:noProof/>
          <w:sz w:val="22"/>
          <w:szCs w:val="22"/>
          <w:lang w:val="sr-Cyrl-RS"/>
        </w:rPr>
        <w:t xml:space="preserve">исказани вредност капитала (односно оснивачког улога општине) износи 0,00 динара. Сходно наведеном, </w:t>
      </w:r>
      <w:r w:rsidR="00E037C3" w:rsidRPr="003B4AB2">
        <w:rPr>
          <w:rFonts w:ascii="Tahoma" w:hAnsi="Tahoma" w:cs="Tahoma"/>
          <w:noProof/>
          <w:sz w:val="22"/>
          <w:szCs w:val="22"/>
          <w:lang w:val="sr-Cyrl-RS"/>
        </w:rPr>
        <w:t>однос укупних обавеза јавног предузећа и његовог капитала (</w:t>
      </w:r>
      <w:r w:rsidR="00E037C3" w:rsidRPr="003B4AB2">
        <w:rPr>
          <w:rFonts w:ascii="Tahoma" w:hAnsi="Tahoma" w:cs="Tahoma"/>
          <w:noProof/>
          <w:sz w:val="22"/>
          <w:szCs w:val="22"/>
        </w:rPr>
        <w:t xml:space="preserve">D/E racio) </w:t>
      </w:r>
      <w:r w:rsidR="00E037C3" w:rsidRPr="003B4AB2">
        <w:rPr>
          <w:rFonts w:ascii="Tahoma" w:hAnsi="Tahoma" w:cs="Tahoma"/>
          <w:noProof/>
          <w:sz w:val="22"/>
          <w:szCs w:val="22"/>
          <w:lang w:val="sr-Cyrl-RS"/>
        </w:rPr>
        <w:t xml:space="preserve">је </w:t>
      </w:r>
      <w:r w:rsidR="00DD5FEB">
        <w:rPr>
          <w:rFonts w:ascii="Tahoma" w:hAnsi="Tahoma" w:cs="Tahoma"/>
          <w:noProof/>
          <w:sz w:val="22"/>
          <w:szCs w:val="22"/>
          <w:lang w:val="sr-Cyrl-RS"/>
        </w:rPr>
        <w:t>0,00</w:t>
      </w:r>
      <w:r w:rsidR="00E037C3" w:rsidRPr="00A839D8">
        <w:rPr>
          <w:rFonts w:ascii="Tahoma" w:hAnsi="Tahoma" w:cs="Tahoma"/>
          <w:noProof/>
          <w:sz w:val="22"/>
          <w:szCs w:val="22"/>
          <w:lang w:val="sr-Cyrl-RS"/>
        </w:rPr>
        <w:t>%</w:t>
      </w:r>
      <w:r w:rsidR="00DD5FEB">
        <w:rPr>
          <w:rFonts w:ascii="Tahoma" w:hAnsi="Tahoma" w:cs="Tahoma"/>
          <w:noProof/>
          <w:sz w:val="22"/>
          <w:szCs w:val="22"/>
          <w:lang w:val="sr-Cyrl-RS"/>
        </w:rPr>
        <w:t xml:space="preserve"> или другим речима, није мерљив.</w:t>
      </w:r>
      <w:r w:rsidR="00921BEB" w:rsidRPr="00A839D8">
        <w:rPr>
          <w:rFonts w:ascii="Tahoma" w:hAnsi="Tahoma" w:cs="Tahoma"/>
          <w:noProof/>
          <w:sz w:val="22"/>
          <w:szCs w:val="22"/>
          <w:lang w:val="sr-Cyrl-RS"/>
        </w:rPr>
        <w:t xml:space="preserve"> Када се посматра тај однос </w:t>
      </w:r>
      <w:r w:rsidR="00E037C3" w:rsidRPr="00A839D8">
        <w:rPr>
          <w:rFonts w:ascii="Tahoma" w:hAnsi="Tahoma" w:cs="Tahoma"/>
          <w:noProof/>
          <w:sz w:val="22"/>
          <w:szCs w:val="22"/>
          <w:lang w:val="sr-Cyrl-RS"/>
        </w:rPr>
        <w:t>у</w:t>
      </w:r>
      <w:r w:rsidR="00921BEB" w:rsidRPr="00A839D8">
        <w:rPr>
          <w:rFonts w:ascii="Tahoma" w:hAnsi="Tahoma" w:cs="Tahoma"/>
          <w:noProof/>
          <w:sz w:val="22"/>
          <w:szCs w:val="22"/>
          <w:lang w:val="sr-Cyrl-RS"/>
        </w:rPr>
        <w:t xml:space="preserve"> случају</w:t>
      </w:r>
      <w:r w:rsidR="00E037C3" w:rsidRPr="00A839D8">
        <w:rPr>
          <w:rFonts w:ascii="Tahoma" w:hAnsi="Tahoma" w:cs="Tahoma"/>
          <w:noProof/>
          <w:sz w:val="22"/>
          <w:szCs w:val="22"/>
          <w:lang w:val="sr-Cyrl-RS"/>
        </w:rPr>
        <w:t xml:space="preserve"> јавн</w:t>
      </w:r>
      <w:r w:rsidR="00921BEB" w:rsidRPr="00A839D8">
        <w:rPr>
          <w:rFonts w:ascii="Tahoma" w:hAnsi="Tahoma" w:cs="Tahoma"/>
          <w:noProof/>
          <w:sz w:val="22"/>
          <w:szCs w:val="22"/>
          <w:lang w:val="sr-Cyrl-RS"/>
        </w:rPr>
        <w:t>их</w:t>
      </w:r>
      <w:r w:rsidR="00E037C3" w:rsidRPr="00A839D8">
        <w:rPr>
          <w:rFonts w:ascii="Tahoma" w:hAnsi="Tahoma" w:cs="Tahoma"/>
          <w:noProof/>
          <w:sz w:val="22"/>
          <w:szCs w:val="22"/>
          <w:lang w:val="sr-Cyrl-RS"/>
        </w:rPr>
        <w:t xml:space="preserve"> предузећа других општина (</w:t>
      </w:r>
      <w:r w:rsidR="00921BEB" w:rsidRPr="00A839D8">
        <w:rPr>
          <w:rFonts w:ascii="Tahoma" w:hAnsi="Tahoma" w:cs="Tahoma"/>
          <w:noProof/>
          <w:sz w:val="22"/>
          <w:szCs w:val="22"/>
          <w:lang w:val="sr-Cyrl-RS"/>
        </w:rPr>
        <w:t>38</w:t>
      </w:r>
      <w:r w:rsidR="00E037C3" w:rsidRPr="00A839D8">
        <w:rPr>
          <w:rFonts w:ascii="Tahoma" w:hAnsi="Tahoma" w:cs="Tahoma"/>
          <w:noProof/>
          <w:sz w:val="22"/>
          <w:szCs w:val="22"/>
          <w:lang w:val="sr-Cyrl-RS"/>
        </w:rPr>
        <w:t>) у региону</w:t>
      </w:r>
      <w:r w:rsidR="00A73457" w:rsidRPr="00A839D8">
        <w:rPr>
          <w:rFonts w:ascii="Tahoma" w:hAnsi="Tahoma" w:cs="Tahoma"/>
          <w:noProof/>
          <w:sz w:val="22"/>
          <w:szCs w:val="22"/>
          <w:lang w:val="sr-Cyrl-RS"/>
        </w:rPr>
        <w:t>, тј. за остала 13</w:t>
      </w:r>
      <w:r w:rsidR="00DD5FEB">
        <w:rPr>
          <w:rFonts w:ascii="Tahoma" w:hAnsi="Tahoma" w:cs="Tahoma"/>
          <w:noProof/>
          <w:sz w:val="22"/>
          <w:szCs w:val="22"/>
          <w:lang w:val="sr-Cyrl-RS"/>
        </w:rPr>
        <w:t>7</w:t>
      </w:r>
      <w:r w:rsidR="00A73457" w:rsidRPr="00A839D8">
        <w:rPr>
          <w:rFonts w:ascii="Tahoma" w:hAnsi="Tahoma" w:cs="Tahoma"/>
          <w:noProof/>
          <w:sz w:val="22"/>
          <w:szCs w:val="22"/>
          <w:lang w:val="sr-Cyrl-RS"/>
        </w:rPr>
        <w:t xml:space="preserve"> јавна предузећа у региону, онда </w:t>
      </w:r>
      <w:r w:rsidR="00776F4D" w:rsidRPr="00A839D8">
        <w:rPr>
          <w:rFonts w:ascii="Tahoma" w:hAnsi="Tahoma" w:cs="Tahoma"/>
          <w:noProof/>
          <w:sz w:val="22"/>
          <w:szCs w:val="22"/>
          <w:lang w:val="sr-Cyrl-RS"/>
        </w:rPr>
        <w:t xml:space="preserve">је </w:t>
      </w:r>
      <w:r w:rsidR="00776F4D" w:rsidRPr="00A839D8">
        <w:rPr>
          <w:rFonts w:ascii="Tahoma" w:hAnsi="Tahoma" w:cs="Tahoma"/>
          <w:noProof/>
          <w:sz w:val="22"/>
          <w:szCs w:val="22"/>
        </w:rPr>
        <w:t>D/E racio</w:t>
      </w:r>
      <w:r w:rsidR="00776F4D" w:rsidRPr="00A839D8">
        <w:rPr>
          <w:rFonts w:ascii="Tahoma" w:hAnsi="Tahoma" w:cs="Tahoma"/>
          <w:noProof/>
          <w:sz w:val="22"/>
          <w:szCs w:val="22"/>
          <w:lang w:val="sr-Cyrl-RS"/>
        </w:rPr>
        <w:t xml:space="preserve"> на нивоу од 43,</w:t>
      </w:r>
      <w:r w:rsidR="00DD5FEB">
        <w:rPr>
          <w:rFonts w:ascii="Tahoma" w:hAnsi="Tahoma" w:cs="Tahoma"/>
          <w:noProof/>
          <w:sz w:val="22"/>
          <w:szCs w:val="22"/>
          <w:lang w:val="sr-Cyrl-RS"/>
        </w:rPr>
        <w:t>78</w:t>
      </w:r>
      <w:r w:rsidR="00E037C3" w:rsidRPr="00A839D8">
        <w:rPr>
          <w:rFonts w:ascii="Tahoma" w:hAnsi="Tahoma" w:cs="Tahoma"/>
          <w:noProof/>
          <w:sz w:val="22"/>
          <w:szCs w:val="22"/>
          <w:lang w:val="sr-Cyrl-RS"/>
        </w:rPr>
        <w:t>%</w:t>
      </w:r>
      <w:r w:rsidR="00E037C3" w:rsidRPr="00A839D8">
        <w:rPr>
          <w:rStyle w:val="FootnoteReference"/>
          <w:rFonts w:ascii="Tahoma" w:hAnsi="Tahoma" w:cs="Tahoma"/>
          <w:noProof/>
          <w:sz w:val="22"/>
          <w:szCs w:val="22"/>
          <w:lang w:val="sr-Cyrl-RS"/>
        </w:rPr>
        <w:footnoteReference w:id="14"/>
      </w:r>
      <w:r w:rsidR="00E037C3" w:rsidRPr="00A839D8">
        <w:rPr>
          <w:rFonts w:ascii="Tahoma" w:hAnsi="Tahoma" w:cs="Tahoma"/>
          <w:noProof/>
          <w:sz w:val="22"/>
          <w:szCs w:val="22"/>
          <w:lang w:val="sr-Cyrl-RS"/>
        </w:rPr>
        <w:t>.</w:t>
      </w:r>
      <w:r w:rsidR="00E037C3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776F4D">
        <w:rPr>
          <w:rFonts w:ascii="Tahoma" w:hAnsi="Tahoma" w:cs="Tahoma"/>
          <w:noProof/>
          <w:sz w:val="22"/>
          <w:szCs w:val="22"/>
          <w:lang w:val="sr-Cyrl-RS"/>
        </w:rPr>
        <w:t>Јавн</w:t>
      </w:r>
      <w:r w:rsidR="00DD5FEB">
        <w:rPr>
          <w:rFonts w:ascii="Tahoma" w:hAnsi="Tahoma" w:cs="Tahoma"/>
          <w:noProof/>
          <w:sz w:val="22"/>
          <w:szCs w:val="22"/>
          <w:lang w:val="sr-Cyrl-RS"/>
        </w:rPr>
        <w:t>а</w:t>
      </w:r>
      <w:r w:rsidR="00776F4D">
        <w:rPr>
          <w:rFonts w:ascii="Tahoma" w:hAnsi="Tahoma" w:cs="Tahoma"/>
          <w:noProof/>
          <w:sz w:val="22"/>
          <w:szCs w:val="22"/>
          <w:lang w:val="sr-Cyrl-RS"/>
        </w:rPr>
        <w:t xml:space="preserve"> предузећ</w:t>
      </w:r>
      <w:r w:rsidR="00DD5FEB">
        <w:rPr>
          <w:rFonts w:ascii="Tahoma" w:hAnsi="Tahoma" w:cs="Tahoma"/>
          <w:noProof/>
          <w:sz w:val="22"/>
          <w:szCs w:val="22"/>
          <w:lang w:val="sr-Cyrl-RS"/>
        </w:rPr>
        <w:t>а</w:t>
      </w:r>
      <w:r w:rsidR="00776F4D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30633E">
        <w:rPr>
          <w:rFonts w:ascii="Tahoma" w:hAnsi="Tahoma" w:cs="Tahoma"/>
          <w:noProof/>
          <w:sz w:val="22"/>
          <w:szCs w:val="22"/>
          <w:lang w:val="sr-Cyrl-RS"/>
        </w:rPr>
        <w:t xml:space="preserve">из </w:t>
      </w:r>
      <w:r w:rsidR="00B62D3F">
        <w:rPr>
          <w:rFonts w:ascii="Tahoma" w:hAnsi="Tahoma" w:cs="Tahoma"/>
          <w:noProof/>
          <w:sz w:val="22"/>
          <w:szCs w:val="22"/>
          <w:lang w:val="sr-Cyrl-RS"/>
        </w:rPr>
        <w:t>С</w:t>
      </w:r>
      <w:r w:rsidR="00DD5FEB">
        <w:rPr>
          <w:rFonts w:ascii="Tahoma" w:hAnsi="Tahoma" w:cs="Tahoma"/>
          <w:noProof/>
          <w:sz w:val="22"/>
          <w:szCs w:val="22"/>
          <w:lang w:val="sr-Cyrl-RS"/>
        </w:rPr>
        <w:t>медеревске Паланке</w:t>
      </w:r>
      <w:r w:rsidR="00E037C3">
        <w:rPr>
          <w:rFonts w:ascii="Tahoma" w:hAnsi="Tahoma" w:cs="Tahoma"/>
          <w:noProof/>
          <w:sz w:val="22"/>
          <w:szCs w:val="22"/>
          <w:lang w:val="sr-Cyrl-RS"/>
        </w:rPr>
        <w:t xml:space="preserve"> ни</w:t>
      </w:r>
      <w:r w:rsidR="00DD5FEB">
        <w:rPr>
          <w:rFonts w:ascii="Tahoma" w:hAnsi="Tahoma" w:cs="Tahoma"/>
          <w:noProof/>
          <w:sz w:val="22"/>
          <w:szCs w:val="22"/>
          <w:lang w:val="sr-Cyrl-RS"/>
        </w:rPr>
        <w:t>су</w:t>
      </w:r>
      <w:r w:rsidR="00E037C3">
        <w:rPr>
          <w:rFonts w:ascii="Tahoma" w:hAnsi="Tahoma" w:cs="Tahoma"/>
          <w:noProof/>
          <w:sz w:val="22"/>
          <w:szCs w:val="22"/>
          <w:lang w:val="sr-Cyrl-RS"/>
        </w:rPr>
        <w:t xml:space="preserve"> кредитно задужен</w:t>
      </w:r>
      <w:r w:rsidR="00DD5FEB">
        <w:rPr>
          <w:rFonts w:ascii="Tahoma" w:hAnsi="Tahoma" w:cs="Tahoma"/>
          <w:noProof/>
          <w:sz w:val="22"/>
          <w:szCs w:val="22"/>
          <w:lang w:val="sr-Cyrl-RS"/>
        </w:rPr>
        <w:t>а</w:t>
      </w:r>
      <w:r w:rsidR="00E037C3">
        <w:rPr>
          <w:rFonts w:ascii="Tahoma" w:hAnsi="Tahoma" w:cs="Tahoma"/>
          <w:noProof/>
          <w:sz w:val="22"/>
          <w:szCs w:val="22"/>
          <w:lang w:val="sr-Cyrl-RS"/>
        </w:rPr>
        <w:t xml:space="preserve"> код пословних банака у земљи. </w:t>
      </w:r>
    </w:p>
    <w:p w14:paraId="181B3F7B" w14:textId="4E082484" w:rsidR="003B4AB2" w:rsidRPr="00EF79E8" w:rsidRDefault="00E037C3" w:rsidP="00A922B2">
      <w:pPr>
        <w:pStyle w:val="NormalWeb"/>
        <w:spacing w:before="0" w:beforeAutospacing="0" w:after="160" w:line="259" w:lineRule="auto"/>
        <w:jc w:val="both"/>
        <w:rPr>
          <w:rFonts w:ascii="Tahoma" w:hAnsi="Tahoma" w:cs="Tahoma"/>
          <w:iCs/>
        </w:rPr>
      </w:pPr>
      <w:r w:rsidRPr="003B4AB2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mc:AlternateContent>
          <mc:Choice Requires="wps">
            <w:drawing>
              <wp:anchor distT="91440" distB="91440" distL="114300" distR="114300" simplePos="0" relativeHeight="251680768" behindDoc="0" locked="0" layoutInCell="1" allowOverlap="1" wp14:anchorId="66CB5028" wp14:editId="5B672F1C">
                <wp:simplePos x="0" y="0"/>
                <wp:positionH relativeFrom="margin">
                  <wp:posOffset>-42496</wp:posOffset>
                </wp:positionH>
                <wp:positionV relativeFrom="paragraph">
                  <wp:posOffset>-391</wp:posOffset>
                </wp:positionV>
                <wp:extent cx="5943600" cy="1860550"/>
                <wp:effectExtent l="0" t="0" r="19050" b="2540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6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C3B5A" w14:textId="6620BA00" w:rsidR="00CF0646" w:rsidRPr="00495694" w:rsidRDefault="00CF0646" w:rsidP="00CF0646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Индикатори за потребе израде анализе стања и праћења достизања циљева одрживог развоја – 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јавни дуг </w:t>
                            </w:r>
                            <w:r w:rsidR="001E1CA3">
                              <w:rPr>
                                <w:rStyle w:val="Heading1Char"/>
                                <w:rFonts w:ascii="Tahoma" w:hAnsi="Tahoma" w:cs="Tahoma"/>
                                <w:bCs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општине</w:t>
                            </w: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37C4F571" w14:textId="2B00943E" w:rsidR="008B4315" w:rsidRDefault="00CF0646" w:rsidP="00CF0646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Просечна задуженост </w:t>
                            </w:r>
                            <w:r w:rsidR="001E1CA3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општине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по глави становника</w:t>
                            </w:r>
                          </w:p>
                          <w:p w14:paraId="208DD86B" w14:textId="3FD566F1" w:rsidR="00CF0646" w:rsidRPr="008B4315" w:rsidRDefault="008B4315" w:rsidP="00CF0646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Latn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CF0646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Релативно учешће годишњих издвајања за отплату главнице кредиторима у односу на укупно извршење расхода и издатака буџета </w:t>
                            </w:r>
                            <w:r w:rsidR="001E1CA3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општине</w:t>
                            </w:r>
                          </w:p>
                          <w:p w14:paraId="7CB449EC" w14:textId="176ED93E" w:rsidR="00CF0646" w:rsidRPr="00CF0646" w:rsidRDefault="008B4315" w:rsidP="00CF0646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Latn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Latn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CF0646" w:rsidRPr="00495694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F0646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Релативни показатељ односа укупних обавеза ЈКП (дугорочних и краткорочних) у односу на њихов капитал (</w:t>
                            </w:r>
                            <w:r w:rsidR="00CF0646"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Latn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D/E racio)</w:t>
                            </w:r>
                          </w:p>
                          <w:p w14:paraId="2B84E6C2" w14:textId="77777777" w:rsidR="00CF0646" w:rsidRPr="00495694" w:rsidRDefault="00CF0646" w:rsidP="00CF0646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957C6A" w14:textId="77777777" w:rsidR="00CF0646" w:rsidRPr="00495694" w:rsidRDefault="00CF0646" w:rsidP="00CF0646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2F5496" w:themeColor="accent5" w:themeShade="BF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D2C37B" w14:textId="77777777" w:rsidR="00CF0646" w:rsidRPr="00495694" w:rsidRDefault="00CF0646" w:rsidP="00CF0646">
                            <w:pPr>
                              <w:spacing w:after="160" w:line="259" w:lineRule="auto"/>
                              <w:jc w:val="both"/>
                              <w:rPr>
                                <w:rStyle w:val="Heading1Char"/>
                                <w:rFonts w:ascii="Tahoma" w:hAnsi="Tahoma" w:cs="Tahoma"/>
                                <w:noProof/>
                                <w:color w:val="5B9BD5" w:themeColor="accent1"/>
                                <w:sz w:val="22"/>
                                <w:szCs w:val="2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A1F869" w14:textId="77777777" w:rsidR="00CF0646" w:rsidRPr="00495694" w:rsidRDefault="00CF0646" w:rsidP="00CF064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B5028" id="_x0000_s1037" type="#_x0000_t202" style="position:absolute;left:0;text-align:left;margin-left:-3.35pt;margin-top:-.05pt;width:468pt;height:146.5pt;z-index:25168076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" fillcolor="white [3201]" strokecolor="#2f5496 [2408]" strokeweight="1pt">
                <v:textbox>
                  <w:txbxContent>
                    <w:p w14:paraId="6D4C3B5A" w14:textId="6620BA00" w:rsidR="00CF0646" w:rsidRPr="00495694" w:rsidRDefault="00CF0646" w:rsidP="00CF0646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Индикатори за потребе израде анализе стања и праћења достизања циљева одрживог развоја – </w:t>
                      </w:r>
                      <w:r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јавни дуг </w:t>
                      </w:r>
                      <w:r w:rsidR="001E1CA3">
                        <w:rPr>
                          <w:rStyle w:val="Heading1Char"/>
                          <w:rFonts w:ascii="Tahoma" w:hAnsi="Tahoma" w:cs="Tahoma"/>
                          <w:bCs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општине</w:t>
                      </w: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37C4F571" w14:textId="2B00943E" w:rsidR="008B4315" w:rsidRDefault="00CF0646" w:rsidP="00CF0646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Просечна задуженост </w:t>
                      </w:r>
                      <w:r w:rsidR="001E1CA3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општине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по глави становника</w:t>
                      </w:r>
                    </w:p>
                    <w:p w14:paraId="208DD86B" w14:textId="3FD566F1" w:rsidR="00CF0646" w:rsidRPr="008B4315" w:rsidRDefault="008B4315" w:rsidP="00CF0646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Latn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CF0646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Релативно учешће годишњих издвајања за отплату главнице кредиторима у односу на укупно извршење расхода и издатака буџета </w:t>
                      </w:r>
                      <w:r w:rsidR="001E1CA3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општине</w:t>
                      </w:r>
                    </w:p>
                    <w:p w14:paraId="7CB449EC" w14:textId="176ED93E" w:rsidR="00CF0646" w:rsidRPr="00CF0646" w:rsidRDefault="008B4315" w:rsidP="00CF0646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Latn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Latn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CF0646" w:rsidRPr="00495694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F0646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Релативни показатељ односа укупних обавеза ЈКП (дугорочних и краткорочних) у односу на њихов капитал (</w:t>
                      </w:r>
                      <w:r w:rsidR="00CF0646"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Latn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D/E racio)</w:t>
                      </w:r>
                    </w:p>
                    <w:p w14:paraId="2B84E6C2" w14:textId="77777777" w:rsidR="00CF0646" w:rsidRPr="00495694" w:rsidRDefault="00CF0646" w:rsidP="00CF0646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957C6A" w14:textId="77777777" w:rsidR="00CF0646" w:rsidRPr="00495694" w:rsidRDefault="00CF0646" w:rsidP="00CF0646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2F5496" w:themeColor="accent5" w:themeShade="BF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D2C37B" w14:textId="77777777" w:rsidR="00CF0646" w:rsidRPr="00495694" w:rsidRDefault="00CF0646" w:rsidP="00CF0646">
                      <w:pPr>
                        <w:spacing w:after="160" w:line="259" w:lineRule="auto"/>
                        <w:jc w:val="both"/>
                        <w:rPr>
                          <w:rStyle w:val="Heading1Char"/>
                          <w:rFonts w:ascii="Tahoma" w:hAnsi="Tahoma" w:cs="Tahoma"/>
                          <w:noProof/>
                          <w:color w:val="5B9BD5" w:themeColor="accent1"/>
                          <w:sz w:val="22"/>
                          <w:szCs w:val="2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A1F869" w14:textId="77777777" w:rsidR="00CF0646" w:rsidRPr="00495694" w:rsidRDefault="00CF0646" w:rsidP="00CF064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541BD80" w14:textId="6777C979" w:rsidR="001845F3" w:rsidRDefault="001845F3" w:rsidP="008B0087">
      <w:pPr>
        <w:pStyle w:val="Heading3"/>
        <w:numPr>
          <w:ilvl w:val="0"/>
          <w:numId w:val="0"/>
        </w:numPr>
        <w:spacing w:before="0" w:after="160" w:line="259" w:lineRule="auto"/>
        <w:jc w:val="both"/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sr-Cyrl-RS"/>
        </w:rPr>
      </w:pPr>
      <w:r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sr-Cyrl-RS"/>
        </w:rPr>
        <w:t xml:space="preserve">9. Финансијско управљање и контрола </w:t>
      </w:r>
    </w:p>
    <w:p w14:paraId="7F6A1F5A" w14:textId="77777777" w:rsidR="001845F3" w:rsidRPr="00F82A7F" w:rsidRDefault="001845F3" w:rsidP="008B0087">
      <w:pPr>
        <w:spacing w:after="160" w:line="259" w:lineRule="auto"/>
        <w:jc w:val="both"/>
        <w:rPr>
          <w:rFonts w:ascii="Tahoma" w:hAnsi="Tahoma" w:cs="Tahoma"/>
          <w:iCs/>
          <w:lang w:val="ru-RU"/>
        </w:rPr>
      </w:pPr>
    </w:p>
    <w:p w14:paraId="579DE9DA" w14:textId="682ED487" w:rsidR="00226F69" w:rsidRPr="004429A9" w:rsidRDefault="004B0DE8" w:rsidP="008B0087">
      <w:pPr>
        <w:pStyle w:val="NormalWeb"/>
        <w:shd w:val="clear" w:color="auto" w:fill="FFFFFF"/>
        <w:spacing w:before="0" w:beforeAutospacing="0"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4429A9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Постављање и функционисање система финансијског управљања и контроле у </w:t>
      </w:r>
      <w:r w:rsidR="001E7493" w:rsidRPr="004429A9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општини </w:t>
      </w:r>
      <w:r w:rsidR="000D0F79">
        <w:rPr>
          <w:rFonts w:ascii="Tahoma" w:hAnsi="Tahoma" w:cs="Tahoma"/>
          <w:b/>
          <w:bCs/>
          <w:noProof/>
          <w:sz w:val="22"/>
          <w:szCs w:val="22"/>
          <w:lang w:val="sr-Cyrl-RS"/>
        </w:rPr>
        <w:t>С</w:t>
      </w:r>
      <w:r w:rsidR="00555E58">
        <w:rPr>
          <w:rFonts w:ascii="Tahoma" w:hAnsi="Tahoma" w:cs="Tahoma"/>
          <w:b/>
          <w:bCs/>
          <w:noProof/>
          <w:sz w:val="22"/>
          <w:szCs w:val="22"/>
          <w:lang w:val="sr-Cyrl-RS"/>
        </w:rPr>
        <w:t>медеревска Паланка</w:t>
      </w:r>
      <w:r w:rsidRPr="004429A9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</w:t>
      </w:r>
      <w:r w:rsidR="00DF23D7" w:rsidRPr="004429A9">
        <w:rPr>
          <w:rFonts w:ascii="Tahoma" w:hAnsi="Tahoma" w:cs="Tahoma"/>
          <w:b/>
          <w:bCs/>
          <w:noProof/>
          <w:sz w:val="22"/>
          <w:szCs w:val="22"/>
          <w:lang w:val="sr-Cyrl-RS"/>
        </w:rPr>
        <w:t>ни</w:t>
      </w:r>
      <w:r w:rsidR="00CB4537" w:rsidRPr="004429A9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је </w:t>
      </w:r>
      <w:r w:rsidRPr="004429A9">
        <w:rPr>
          <w:rFonts w:ascii="Tahoma" w:hAnsi="Tahoma" w:cs="Tahoma"/>
          <w:b/>
          <w:bCs/>
          <w:noProof/>
          <w:sz w:val="22"/>
          <w:szCs w:val="22"/>
          <w:lang w:val="sr-Cyrl-RS"/>
        </w:rPr>
        <w:t>реализовано</w:t>
      </w:r>
      <w:r w:rsidR="004429A9" w:rsidRPr="004429A9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у потпуности</w:t>
      </w:r>
      <w:r w:rsidR="000078B4" w:rsidRPr="004429A9">
        <w:rPr>
          <w:rFonts w:ascii="Tahoma" w:hAnsi="Tahoma" w:cs="Tahoma"/>
          <w:b/>
          <w:bCs/>
          <w:noProof/>
          <w:sz w:val="22"/>
          <w:szCs w:val="22"/>
          <w:lang w:val="sr-Cyrl-RS"/>
        </w:rPr>
        <w:t>.</w:t>
      </w:r>
      <w:r w:rsidRPr="004429A9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</w:t>
      </w:r>
      <w:r w:rsidR="00226F69" w:rsidRPr="004429A9">
        <w:rPr>
          <w:rFonts w:ascii="Tahoma" w:hAnsi="Tahoma" w:cs="Tahoma"/>
          <w:noProof/>
          <w:sz w:val="22"/>
          <w:szCs w:val="22"/>
          <w:lang w:val="sr-Cyrl-RS"/>
        </w:rPr>
        <w:t xml:space="preserve">Финансијско управљање и контрола је систем политика, процедура и активности које успоставља, одржава и редовно ажурира руководилац корисника јавних средстава, а којим се </w:t>
      </w:r>
      <w:r w:rsidR="00226F69" w:rsidRPr="004429A9">
        <w:rPr>
          <w:rFonts w:ascii="Tahoma" w:hAnsi="Tahoma" w:cs="Tahoma"/>
          <w:noProof/>
          <w:sz w:val="22"/>
          <w:szCs w:val="22"/>
          <w:lang w:val="sr-Cyrl-RS"/>
        </w:rPr>
        <w:lastRenderedPageBreak/>
        <w:t>управљајући ризицима обезбеђује уверавање у разумној мери да ће се циљеви корисника јавних средстава остварити на правилан, економичан, ефикасан и ефективан начин, кроз:</w:t>
      </w:r>
    </w:p>
    <w:p w14:paraId="60214408" w14:textId="77777777" w:rsidR="00226F69" w:rsidRPr="00597ACE" w:rsidRDefault="00226F69" w:rsidP="008B0087">
      <w:pPr>
        <w:pStyle w:val="NormalWeb"/>
        <w:shd w:val="clear" w:color="auto" w:fill="FFFFFF"/>
        <w:spacing w:before="0" w:beforeAutospacing="0"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597ACE">
        <w:rPr>
          <w:rFonts w:ascii="Tahoma" w:hAnsi="Tahoma" w:cs="Tahoma"/>
          <w:noProof/>
          <w:sz w:val="22"/>
          <w:szCs w:val="22"/>
          <w:lang w:val="sr-Cyrl-RS"/>
        </w:rPr>
        <w:t>1) пословање у складу са прописима, унутрашњим актима и уговорима;</w:t>
      </w:r>
    </w:p>
    <w:p w14:paraId="773BE010" w14:textId="77777777" w:rsidR="00226F69" w:rsidRPr="00597ACE" w:rsidRDefault="00226F69" w:rsidP="008B0087">
      <w:pPr>
        <w:pStyle w:val="NormalWeb"/>
        <w:shd w:val="clear" w:color="auto" w:fill="FFFFFF"/>
        <w:spacing w:before="0" w:beforeAutospacing="0"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597ACE">
        <w:rPr>
          <w:rFonts w:ascii="Tahoma" w:hAnsi="Tahoma" w:cs="Tahoma"/>
          <w:noProof/>
          <w:sz w:val="22"/>
          <w:szCs w:val="22"/>
          <w:lang w:val="sr-Cyrl-RS"/>
        </w:rPr>
        <w:t>2) потпуност, реалност и интегритет финансијских и пословних извештаја;</w:t>
      </w:r>
    </w:p>
    <w:p w14:paraId="4F0FBB00" w14:textId="77777777" w:rsidR="00226F69" w:rsidRPr="00597ACE" w:rsidRDefault="00226F69" w:rsidP="008B0087">
      <w:pPr>
        <w:pStyle w:val="NormalWeb"/>
        <w:shd w:val="clear" w:color="auto" w:fill="FFFFFF"/>
        <w:spacing w:before="0" w:beforeAutospacing="0"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597ACE">
        <w:rPr>
          <w:rFonts w:ascii="Tahoma" w:hAnsi="Tahoma" w:cs="Tahoma"/>
          <w:noProof/>
          <w:sz w:val="22"/>
          <w:szCs w:val="22"/>
          <w:lang w:val="sr-Cyrl-RS"/>
        </w:rPr>
        <w:t>3) добро финансијско управљање и заштиту средстава и података (информација).</w:t>
      </w:r>
      <w:r w:rsidRPr="00597ACE">
        <w:rPr>
          <w:rStyle w:val="FootnoteReference"/>
          <w:rFonts w:ascii="Tahoma" w:hAnsi="Tahoma" w:cs="Tahoma"/>
          <w:noProof/>
          <w:sz w:val="22"/>
          <w:szCs w:val="22"/>
          <w:lang w:val="sr-Cyrl-RS"/>
        </w:rPr>
        <w:footnoteReference w:id="15"/>
      </w:r>
    </w:p>
    <w:p w14:paraId="2727113B" w14:textId="316FF77C" w:rsidR="007450B3" w:rsidRDefault="00F13DB1" w:rsidP="004429A9">
      <w:pPr>
        <w:pStyle w:val="NormalWeb"/>
        <w:spacing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4429A9">
        <w:rPr>
          <w:rFonts w:ascii="Tahoma" w:hAnsi="Tahoma" w:cs="Tahoma"/>
          <w:noProof/>
          <w:sz w:val="22"/>
          <w:szCs w:val="22"/>
          <w:lang w:val="sr-Cyrl-RS"/>
        </w:rPr>
        <w:t xml:space="preserve">Општина </w:t>
      </w:r>
      <w:r w:rsidR="00C30697">
        <w:rPr>
          <w:rFonts w:ascii="Tahoma" w:hAnsi="Tahoma" w:cs="Tahoma"/>
          <w:noProof/>
          <w:sz w:val="22"/>
          <w:szCs w:val="22"/>
          <w:lang w:val="sr-Cyrl-RS"/>
        </w:rPr>
        <w:t>С</w:t>
      </w:r>
      <w:r w:rsidR="001A52F6">
        <w:rPr>
          <w:rFonts w:ascii="Tahoma" w:hAnsi="Tahoma" w:cs="Tahoma"/>
          <w:noProof/>
          <w:sz w:val="22"/>
          <w:szCs w:val="22"/>
          <w:lang w:val="sr-Cyrl-RS"/>
        </w:rPr>
        <w:t xml:space="preserve">медеревска Паланка </w:t>
      </w:r>
      <w:r w:rsidRPr="004429A9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4429A9" w:rsidRPr="004429A9">
        <w:rPr>
          <w:rFonts w:ascii="Tahoma" w:hAnsi="Tahoma" w:cs="Tahoma"/>
          <w:noProof/>
          <w:sz w:val="22"/>
          <w:szCs w:val="22"/>
          <w:lang w:val="sr-Cyrl-RS"/>
        </w:rPr>
        <w:t>није у потпуности успоставила ефикасан систем интерних контрола у складу са чланом 81. став 2 и члана 82. Закона о буџетском систему и Правилник</w:t>
      </w:r>
      <w:r w:rsidR="00624F66">
        <w:rPr>
          <w:rFonts w:ascii="Tahoma" w:hAnsi="Tahoma" w:cs="Tahoma"/>
          <w:noProof/>
          <w:sz w:val="22"/>
          <w:szCs w:val="22"/>
          <w:lang w:val="sr-Cyrl-RS"/>
        </w:rPr>
        <w:t>ом</w:t>
      </w:r>
      <w:r w:rsidR="004429A9" w:rsidRPr="004429A9">
        <w:rPr>
          <w:rFonts w:ascii="Tahoma" w:hAnsi="Tahoma" w:cs="Tahoma"/>
          <w:noProof/>
          <w:sz w:val="22"/>
          <w:szCs w:val="22"/>
          <w:lang w:val="sr-Cyrl-RS"/>
        </w:rPr>
        <w:t xml:space="preserve"> о заједничким критеријумима и стандардима за успостављање, функционисање и извештавање о систему финансијског управљања и контроле у јавном сектору</w:t>
      </w:r>
      <w:r w:rsidR="00D57A1A">
        <w:rPr>
          <w:rFonts w:ascii="Tahoma" w:hAnsi="Tahoma" w:cs="Tahoma"/>
          <w:noProof/>
          <w:sz w:val="22"/>
          <w:szCs w:val="22"/>
          <w:lang w:val="sr-Cyrl-RS"/>
        </w:rPr>
        <w:t>.</w:t>
      </w:r>
      <w:r w:rsidR="007364F5">
        <w:rPr>
          <w:rFonts w:ascii="Tahoma" w:hAnsi="Tahoma" w:cs="Tahoma"/>
          <w:noProof/>
          <w:sz w:val="22"/>
          <w:szCs w:val="22"/>
          <w:lang w:val="sr-Cyrl-RS"/>
        </w:rPr>
        <w:t xml:space="preserve"> Ризици се не прикупљају и не рангирају. </w:t>
      </w:r>
      <w:r w:rsidR="0094353F">
        <w:rPr>
          <w:rFonts w:ascii="Tahoma" w:hAnsi="Tahoma" w:cs="Tahoma"/>
          <w:noProof/>
          <w:sz w:val="22"/>
          <w:szCs w:val="22"/>
          <w:lang w:val="sr-Cyrl-RS"/>
        </w:rPr>
        <w:t>Према из</w:t>
      </w:r>
      <w:r w:rsidR="00662F39">
        <w:rPr>
          <w:rFonts w:ascii="Tahoma" w:hAnsi="Tahoma" w:cs="Tahoma"/>
          <w:noProof/>
          <w:sz w:val="22"/>
          <w:szCs w:val="22"/>
          <w:lang w:val="sr-Cyrl-RS"/>
        </w:rPr>
        <w:t>вештају Државне ревизорске институције о</w:t>
      </w:r>
      <w:r w:rsidR="00662F39" w:rsidRPr="00662F39">
        <w:rPr>
          <w:rFonts w:ascii="Tahoma" w:hAnsi="Tahoma" w:cs="Tahoma"/>
          <w:noProof/>
          <w:sz w:val="22"/>
          <w:szCs w:val="22"/>
          <w:lang w:val="sr-Cyrl-RS"/>
        </w:rPr>
        <w:t>пштин</w:t>
      </w:r>
      <w:r w:rsidR="00662F39">
        <w:rPr>
          <w:rFonts w:ascii="Tahoma" w:hAnsi="Tahoma" w:cs="Tahoma"/>
          <w:noProof/>
          <w:sz w:val="22"/>
          <w:szCs w:val="22"/>
          <w:lang w:val="sr-Cyrl-RS"/>
        </w:rPr>
        <w:t>а</w:t>
      </w:r>
      <w:r w:rsidR="00662F39" w:rsidRPr="00662F39">
        <w:rPr>
          <w:rFonts w:ascii="Tahoma" w:hAnsi="Tahoma" w:cs="Tahoma"/>
          <w:noProof/>
          <w:sz w:val="22"/>
          <w:szCs w:val="22"/>
          <w:lang w:val="sr-Cyrl-RS"/>
        </w:rPr>
        <w:t xml:space="preserve"> није усвојил</w:t>
      </w:r>
      <w:r w:rsidR="00662F39">
        <w:rPr>
          <w:rFonts w:ascii="Tahoma" w:hAnsi="Tahoma" w:cs="Tahoma"/>
          <w:noProof/>
          <w:sz w:val="22"/>
          <w:szCs w:val="22"/>
          <w:lang w:val="sr-Cyrl-RS"/>
        </w:rPr>
        <w:t>а</w:t>
      </w:r>
      <w:r w:rsidR="00662F39" w:rsidRPr="00662F39">
        <w:rPr>
          <w:rFonts w:ascii="Tahoma" w:hAnsi="Tahoma" w:cs="Tahoma"/>
          <w:noProof/>
          <w:sz w:val="22"/>
          <w:szCs w:val="22"/>
          <w:lang w:val="sr-Cyrl-RS"/>
        </w:rPr>
        <w:t xml:space="preserve"> стратегију управљања ризиком, коју би требало повремено ажурирати, као и у случају када се контролно окружење значајно измени, сходно члану 6. став 2. Правилника о заједничким критеријумима и стандардима за успостављање и функционисање система финансијског управљања и контроле у јавном сектору</w:t>
      </w:r>
      <w:r w:rsidR="00662F39">
        <w:rPr>
          <w:rFonts w:ascii="Tahoma" w:hAnsi="Tahoma" w:cs="Tahoma"/>
          <w:noProof/>
          <w:sz w:val="22"/>
          <w:szCs w:val="22"/>
          <w:lang w:val="sr-Cyrl-RS"/>
        </w:rPr>
        <w:t>. Такође, н</w:t>
      </w:r>
      <w:r w:rsidR="00662F39" w:rsidRPr="00662F39">
        <w:rPr>
          <w:rFonts w:ascii="Tahoma" w:hAnsi="Tahoma" w:cs="Tahoma"/>
          <w:noProof/>
          <w:sz w:val="22"/>
          <w:szCs w:val="22"/>
          <w:lang w:val="sr-Cyrl-RS"/>
        </w:rPr>
        <w:t>ису на одговарајући начин спроведене контроле које служе за свођење ризика на прихватљив ниво и исте нису анализиране и ажуриране најмање једном годишње</w:t>
      </w:r>
      <w:r w:rsidR="009F6A06">
        <w:rPr>
          <w:rFonts w:ascii="Tahoma" w:hAnsi="Tahoma" w:cs="Tahoma"/>
          <w:noProof/>
          <w:sz w:val="22"/>
          <w:szCs w:val="22"/>
          <w:lang w:val="sr-Cyrl-RS"/>
        </w:rPr>
        <w:t xml:space="preserve">. </w:t>
      </w:r>
    </w:p>
    <w:p w14:paraId="6AE8BE18" w14:textId="77777777" w:rsidR="007450B3" w:rsidRDefault="007450B3" w:rsidP="004429A9">
      <w:pPr>
        <w:pStyle w:val="NormalWeb"/>
        <w:spacing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</w:p>
    <w:p w14:paraId="44153DE4" w14:textId="042003AB" w:rsidR="00661CF4" w:rsidRDefault="00661CF4" w:rsidP="008B0087">
      <w:pPr>
        <w:pStyle w:val="Heading3"/>
        <w:numPr>
          <w:ilvl w:val="0"/>
          <w:numId w:val="0"/>
        </w:numPr>
        <w:spacing w:before="0" w:after="160" w:line="259" w:lineRule="auto"/>
        <w:jc w:val="both"/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sr-Cyrl-RS"/>
        </w:rPr>
      </w:pPr>
      <w:r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sr-Cyrl-RS"/>
        </w:rPr>
        <w:t xml:space="preserve">10. Интерна ревизија </w:t>
      </w:r>
    </w:p>
    <w:p w14:paraId="5904E8B8" w14:textId="3455C415" w:rsidR="00FE166D" w:rsidRPr="00F82A7F" w:rsidRDefault="00FE166D" w:rsidP="008B0087">
      <w:pPr>
        <w:pStyle w:val="Heading2"/>
        <w:numPr>
          <w:ilvl w:val="0"/>
          <w:numId w:val="0"/>
        </w:numPr>
        <w:spacing w:before="0" w:after="160" w:line="259" w:lineRule="auto"/>
        <w:jc w:val="both"/>
        <w:rPr>
          <w:rFonts w:ascii="Tahoma" w:hAnsi="Tahoma" w:cs="Tahoma"/>
          <w:noProof/>
          <w:lang w:val="sr-Cyrl-RS"/>
        </w:rPr>
      </w:pPr>
    </w:p>
    <w:p w14:paraId="44F7E6AA" w14:textId="1011D453" w:rsidR="0049444B" w:rsidRPr="0049444B" w:rsidRDefault="004B0DE8" w:rsidP="00A57BA8">
      <w:pPr>
        <w:pStyle w:val="NormalWeb"/>
        <w:spacing w:before="0" w:beforeAutospacing="0" w:after="160" w:line="259" w:lineRule="auto"/>
        <w:jc w:val="both"/>
        <w:rPr>
          <w:rFonts w:ascii="Tahoma" w:hAnsi="Tahoma" w:cs="Tahoma"/>
          <w:noProof/>
          <w:color w:val="020202"/>
          <w:sz w:val="22"/>
          <w:szCs w:val="22"/>
          <w:lang w:val="sr-Cyrl-RS"/>
        </w:rPr>
      </w:pPr>
      <w:r w:rsidRPr="00B40551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У </w:t>
      </w:r>
      <w:r w:rsidR="00A93EBE" w:rsidRPr="00B40551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општини </w:t>
      </w:r>
      <w:r w:rsidR="00426CE1">
        <w:rPr>
          <w:rFonts w:ascii="Tahoma" w:hAnsi="Tahoma" w:cs="Tahoma"/>
          <w:b/>
          <w:bCs/>
          <w:noProof/>
          <w:sz w:val="22"/>
          <w:szCs w:val="22"/>
          <w:lang w:val="sr-Cyrl-RS"/>
        </w:rPr>
        <w:t>С</w:t>
      </w:r>
      <w:r w:rsidR="008665ED">
        <w:rPr>
          <w:rFonts w:ascii="Tahoma" w:hAnsi="Tahoma" w:cs="Tahoma"/>
          <w:b/>
          <w:bCs/>
          <w:noProof/>
          <w:sz w:val="22"/>
          <w:szCs w:val="22"/>
          <w:lang w:val="sr-Cyrl-RS"/>
        </w:rPr>
        <w:t>медеревска Паланка</w:t>
      </w:r>
      <w:r w:rsidR="00A93EBE" w:rsidRPr="00B40551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је успостављен</w:t>
      </w:r>
      <w:r w:rsidR="003B4AB2" w:rsidRPr="00B40551">
        <w:rPr>
          <w:rFonts w:ascii="Tahoma" w:hAnsi="Tahoma" w:cs="Tahoma"/>
          <w:b/>
          <w:bCs/>
          <w:noProof/>
          <w:sz w:val="22"/>
          <w:szCs w:val="22"/>
          <w:lang w:val="sr-Cyrl-RS"/>
        </w:rPr>
        <w:t>о</w:t>
      </w:r>
      <w:r w:rsidRPr="00B40551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</w:t>
      </w:r>
      <w:r w:rsidR="007C3706" w:rsidRPr="00B40551">
        <w:rPr>
          <w:rFonts w:ascii="Tahoma" w:hAnsi="Tahoma" w:cs="Tahoma"/>
          <w:b/>
          <w:bCs/>
          <w:noProof/>
          <w:sz w:val="22"/>
          <w:szCs w:val="22"/>
          <w:lang w:val="sr-Cyrl-RS"/>
        </w:rPr>
        <w:t>вршењ</w:t>
      </w:r>
      <w:r w:rsidR="003B4AB2" w:rsidRPr="00B40551">
        <w:rPr>
          <w:rFonts w:ascii="Tahoma" w:hAnsi="Tahoma" w:cs="Tahoma"/>
          <w:b/>
          <w:bCs/>
          <w:noProof/>
          <w:sz w:val="22"/>
          <w:szCs w:val="22"/>
          <w:lang w:val="sr-Cyrl-RS"/>
        </w:rPr>
        <w:t>е</w:t>
      </w:r>
      <w:r w:rsidR="007C3706" w:rsidRPr="00B40551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послова</w:t>
      </w:r>
      <w:r w:rsidRPr="00B40551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интерн</w:t>
      </w:r>
      <w:r w:rsidR="007C3706" w:rsidRPr="00B40551">
        <w:rPr>
          <w:rFonts w:ascii="Tahoma" w:hAnsi="Tahoma" w:cs="Tahoma"/>
          <w:b/>
          <w:bCs/>
          <w:noProof/>
          <w:sz w:val="22"/>
          <w:szCs w:val="22"/>
          <w:lang w:val="sr-Cyrl-RS"/>
        </w:rPr>
        <w:t>е</w:t>
      </w:r>
      <w:r w:rsidRPr="00B40551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ревизиј</w:t>
      </w:r>
      <w:r w:rsidR="007C3706" w:rsidRPr="00B40551">
        <w:rPr>
          <w:rFonts w:ascii="Tahoma" w:hAnsi="Tahoma" w:cs="Tahoma"/>
          <w:b/>
          <w:bCs/>
          <w:noProof/>
          <w:sz w:val="22"/>
          <w:szCs w:val="22"/>
          <w:lang w:val="sr-Cyrl-RS"/>
        </w:rPr>
        <w:t>е</w:t>
      </w:r>
      <w:r w:rsidRPr="00B40551">
        <w:rPr>
          <w:rFonts w:ascii="Tahoma" w:hAnsi="Tahoma" w:cs="Tahoma"/>
          <w:b/>
          <w:bCs/>
          <w:noProof/>
          <w:sz w:val="22"/>
          <w:szCs w:val="22"/>
          <w:lang w:val="sr-Cyrl-RS"/>
        </w:rPr>
        <w:t>.</w:t>
      </w:r>
      <w:r w:rsidRPr="00B40551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226F69" w:rsidRPr="00B40551">
        <w:rPr>
          <w:rFonts w:ascii="Tahoma" w:hAnsi="Tahoma" w:cs="Tahoma"/>
          <w:noProof/>
          <w:sz w:val="22"/>
          <w:szCs w:val="22"/>
          <w:lang w:val="sr-Cyrl-RS"/>
        </w:rPr>
        <w:t>Интерна ревизија је независна активност која процењује системе интерних контрола, даје независно и објективно стручно мишљење и савете за унапређење пословања, помаже кориснику у остварењу циљева примењујући системски и дисциплиновани приступ у оцени делотворности процеса управљања ризицима, контрола и управљања организацијом. Интерна ревизија не критикује начин пословања, она процењује постојеће системе, оцењује успешност пословања и даје препоруке и савете за побољшање система финансијског управљања и контроле. Интерна ревизија је помоћ или алат управљачке структуре - њена улога се често означава као "продужена рука руководства" или "очи и уши руководства" јер преко ње добијају информације о функционисању система за који су одговорни. Циљ примене интерне ревизије на свим нивоима јавног управљања је да се поред праћења наменског и законског трошења буџетских средстава, пажња усмери и на мерење резултата и боље планирање и управљање буџетским новцем. Сви грађани који плаћају порез имају интерес да знају да ли се њихов новац троши на ефикасан начин, и да ли локалне самоуправе улажу у развој својих заједница.</w:t>
      </w:r>
      <w:r w:rsidR="000C09F8" w:rsidRPr="00B40551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226F69" w:rsidRPr="00B40551">
        <w:rPr>
          <w:rFonts w:ascii="Tahoma" w:hAnsi="Tahoma" w:cs="Tahoma"/>
          <w:noProof/>
          <w:sz w:val="22"/>
          <w:szCs w:val="22"/>
          <w:lang w:val="sr-Cyrl-RS"/>
        </w:rPr>
        <w:t xml:space="preserve">Начин рада интерне ревизије код корисника јавних средстава регулисан је Правилником о заједничким критеријумима за организовање и стандардима за поступање </w:t>
      </w:r>
      <w:r w:rsidR="00226F69" w:rsidRPr="00B40551">
        <w:rPr>
          <w:rFonts w:ascii="Tahoma" w:hAnsi="Tahoma" w:cs="Tahoma"/>
          <w:noProof/>
          <w:sz w:val="22"/>
          <w:szCs w:val="22"/>
          <w:lang w:val="sr-Cyrl-RS"/>
        </w:rPr>
        <w:lastRenderedPageBreak/>
        <w:t>и извештавање интерне ревизије у јавном сектору</w:t>
      </w:r>
      <w:r w:rsidR="00CD78C7">
        <w:rPr>
          <w:rFonts w:ascii="Tahoma" w:hAnsi="Tahoma" w:cs="Tahoma"/>
          <w:noProof/>
          <w:sz w:val="22"/>
          <w:szCs w:val="22"/>
          <w:lang w:val="sr-Cyrl-RS"/>
        </w:rPr>
        <w:t>.</w:t>
      </w:r>
      <w:r w:rsidR="00226F69" w:rsidRPr="00B40551">
        <w:rPr>
          <w:rStyle w:val="FootnoteReference"/>
          <w:rFonts w:ascii="Tahoma" w:hAnsi="Tahoma" w:cs="Tahoma"/>
          <w:noProof/>
          <w:sz w:val="22"/>
          <w:szCs w:val="22"/>
          <w:lang w:val="sr-Cyrl-RS"/>
        </w:rPr>
        <w:footnoteReference w:id="16"/>
      </w:r>
      <w:r w:rsidRPr="00B40551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49444B" w:rsidRPr="0049444B">
        <w:rPr>
          <w:rFonts w:ascii="Tahoma" w:hAnsi="Tahoma" w:cs="Tahoma"/>
          <w:noProof/>
          <w:color w:val="020202"/>
          <w:sz w:val="22"/>
          <w:szCs w:val="22"/>
          <w:bdr w:val="none" w:sz="0" w:space="0" w:color="auto" w:frame="1"/>
          <w:lang w:val="sr-Cyrl-RS"/>
        </w:rPr>
        <w:t>Служба буџетске инспекције, ревизије и интерне контроле</w:t>
      </w:r>
      <w:r w:rsidR="000B762D">
        <w:rPr>
          <w:rFonts w:ascii="Tahoma" w:hAnsi="Tahoma" w:cs="Tahoma"/>
          <w:noProof/>
          <w:color w:val="020202"/>
          <w:sz w:val="22"/>
          <w:szCs w:val="22"/>
          <w:bdr w:val="none" w:sz="0" w:space="0" w:color="auto" w:frame="1"/>
          <w:lang w:val="sr-Cyrl-RS"/>
        </w:rPr>
        <w:t xml:space="preserve"> </w:t>
      </w:r>
      <w:r w:rsidR="00A57BA8">
        <w:rPr>
          <w:rFonts w:ascii="Tahoma" w:hAnsi="Tahoma" w:cs="Tahoma"/>
          <w:noProof/>
          <w:color w:val="020202"/>
          <w:sz w:val="22"/>
          <w:szCs w:val="22"/>
          <w:bdr w:val="none" w:sz="0" w:space="0" w:color="auto" w:frame="1"/>
          <w:lang w:val="sr-Cyrl-RS"/>
        </w:rPr>
        <w:t>у општини Смедеревска Паланка</w:t>
      </w:r>
      <w:r w:rsidR="0049444B" w:rsidRPr="0049444B">
        <w:rPr>
          <w:rFonts w:ascii="Tahoma" w:hAnsi="Tahoma" w:cs="Tahoma"/>
          <w:noProof/>
          <w:color w:val="020202"/>
          <w:sz w:val="22"/>
          <w:szCs w:val="22"/>
          <w:lang w:val="sr-Cyrl-RS"/>
        </w:rPr>
        <w:t> је надлежна за спровођење инспекције и ревизије над директним  и индиректним корисницима средстава буџета, јавним предузећима и установама.</w:t>
      </w:r>
      <w:r w:rsidR="00A57BA8">
        <w:rPr>
          <w:rFonts w:ascii="Tahoma" w:hAnsi="Tahoma" w:cs="Tahoma"/>
          <w:noProof/>
          <w:color w:val="020202"/>
          <w:sz w:val="22"/>
          <w:szCs w:val="22"/>
          <w:lang w:val="sr-Cyrl-RS"/>
        </w:rPr>
        <w:t xml:space="preserve"> </w:t>
      </w:r>
      <w:r w:rsidR="0049444B" w:rsidRPr="0049444B">
        <w:rPr>
          <w:rFonts w:ascii="Tahoma" w:hAnsi="Tahoma" w:cs="Tahoma"/>
          <w:noProof/>
          <w:color w:val="020202"/>
          <w:sz w:val="22"/>
          <w:szCs w:val="22"/>
          <w:lang w:val="sr-Cyrl-RS"/>
        </w:rPr>
        <w:t>Служба врши проверу примене Закона која представља накнадну проверу корисника буџетских средстава, врши контролу примене Закона у области  материјално-финансијског пословања  наменског и законитог коришћења средстава корисника буџетских средстава.</w:t>
      </w:r>
      <w:r w:rsidR="00A57BA8">
        <w:rPr>
          <w:rFonts w:ascii="Tahoma" w:hAnsi="Tahoma" w:cs="Tahoma"/>
          <w:noProof/>
          <w:color w:val="020202"/>
          <w:sz w:val="22"/>
          <w:szCs w:val="22"/>
          <w:lang w:val="sr-Cyrl-RS"/>
        </w:rPr>
        <w:t xml:space="preserve"> </w:t>
      </w:r>
      <w:r w:rsidR="0049444B" w:rsidRPr="0049444B">
        <w:rPr>
          <w:rFonts w:ascii="Tahoma" w:hAnsi="Tahoma" w:cs="Tahoma"/>
          <w:noProof/>
          <w:color w:val="020202"/>
          <w:sz w:val="22"/>
          <w:szCs w:val="22"/>
          <w:lang w:val="sr-Cyrl-RS"/>
        </w:rPr>
        <w:t>Служба за инспекцију и ревизију има приступ  свим подацима, документима и извештајима и информацијама потребних за обављање функција код корисника буџетских средстава.</w:t>
      </w:r>
    </w:p>
    <w:p w14:paraId="0D9B7F10" w14:textId="77777777" w:rsidR="008F0047" w:rsidRDefault="008F0047" w:rsidP="008B0087">
      <w:pPr>
        <w:pStyle w:val="Heading3"/>
        <w:numPr>
          <w:ilvl w:val="0"/>
          <w:numId w:val="0"/>
        </w:numPr>
        <w:spacing w:before="0" w:after="160" w:line="259" w:lineRule="auto"/>
        <w:jc w:val="both"/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sr-Cyrl-RS"/>
        </w:rPr>
      </w:pPr>
    </w:p>
    <w:p w14:paraId="196A23AD" w14:textId="57CDCF6D" w:rsidR="00DE19AA" w:rsidRPr="003B4AB2" w:rsidRDefault="00DE19AA" w:rsidP="008B0087">
      <w:pPr>
        <w:pStyle w:val="Heading3"/>
        <w:numPr>
          <w:ilvl w:val="0"/>
          <w:numId w:val="0"/>
        </w:numPr>
        <w:spacing w:before="0" w:after="160" w:line="259" w:lineRule="auto"/>
        <w:jc w:val="both"/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sr-Cyrl-RS"/>
        </w:rPr>
      </w:pPr>
      <w:r w:rsidRPr="003B4AB2"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sr-Cyrl-RS"/>
        </w:rPr>
        <w:t xml:space="preserve">10. Екстерна ревизија </w:t>
      </w:r>
    </w:p>
    <w:p w14:paraId="7DD625A7" w14:textId="045550EE" w:rsidR="004B0DE8" w:rsidRPr="009F5616" w:rsidRDefault="004B0DE8" w:rsidP="004B0DE8">
      <w:pPr>
        <w:pStyle w:val="NormalWeb"/>
        <w:spacing w:before="0" w:beforeAutospacing="0" w:after="160" w:line="259" w:lineRule="auto"/>
        <w:jc w:val="both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4B0DE8">
        <w:rPr>
          <w:rFonts w:ascii="Tahoma" w:hAnsi="Tahoma" w:cs="Tahoma"/>
          <w:b/>
          <w:bCs/>
          <w:noProof/>
          <w:sz w:val="22"/>
          <w:szCs w:val="22"/>
          <w:lang w:val="sr-Latn-RS"/>
        </w:rPr>
        <w:t xml:space="preserve">Током </w:t>
      </w:r>
      <w:r w:rsidR="00396E84">
        <w:rPr>
          <w:rFonts w:ascii="Tahoma" w:hAnsi="Tahoma" w:cs="Tahoma"/>
          <w:b/>
          <w:bCs/>
          <w:noProof/>
          <w:sz w:val="22"/>
          <w:szCs w:val="22"/>
          <w:lang w:val="sr-Latn-RS"/>
        </w:rPr>
        <w:t>201</w:t>
      </w:r>
      <w:r w:rsidR="00A57BA8">
        <w:rPr>
          <w:rFonts w:ascii="Tahoma" w:hAnsi="Tahoma" w:cs="Tahoma"/>
          <w:b/>
          <w:bCs/>
          <w:noProof/>
          <w:sz w:val="22"/>
          <w:szCs w:val="22"/>
          <w:lang w:val="sr-Cyrl-RS"/>
        </w:rPr>
        <w:t>3</w:t>
      </w:r>
      <w:r w:rsidRPr="004B0DE8">
        <w:rPr>
          <w:rFonts w:ascii="Tahoma" w:hAnsi="Tahoma" w:cs="Tahoma"/>
          <w:b/>
          <w:bCs/>
          <w:noProof/>
          <w:sz w:val="22"/>
          <w:szCs w:val="22"/>
          <w:lang w:val="sr-Cyrl-RS"/>
        </w:rPr>
        <w:t>.</w:t>
      </w:r>
      <w:r w:rsidRPr="004B0DE8">
        <w:rPr>
          <w:rFonts w:ascii="Tahoma" w:hAnsi="Tahoma" w:cs="Tahoma"/>
          <w:b/>
          <w:bCs/>
          <w:noProof/>
          <w:sz w:val="22"/>
          <w:szCs w:val="22"/>
          <w:lang w:val="sr-Latn-RS"/>
        </w:rPr>
        <w:t xml:space="preserve"> године ДРИ је извршила ревизију консолидованих финансијских извештаја завршног рачуна буџета</w:t>
      </w:r>
      <w:r w:rsidR="00396E84">
        <w:rPr>
          <w:rFonts w:ascii="Tahoma" w:hAnsi="Tahoma" w:cs="Tahoma"/>
          <w:b/>
          <w:bCs/>
          <w:noProof/>
          <w:sz w:val="22"/>
          <w:szCs w:val="22"/>
          <w:lang w:val="sr-Latn-RS"/>
        </w:rPr>
        <w:t xml:space="preserve"> </w:t>
      </w:r>
      <w:r w:rsidR="00396E84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и правилности пословања општине </w:t>
      </w:r>
      <w:r w:rsidR="00E02EA7">
        <w:rPr>
          <w:rFonts w:ascii="Tahoma" w:hAnsi="Tahoma" w:cs="Tahoma"/>
          <w:b/>
          <w:bCs/>
          <w:noProof/>
          <w:sz w:val="22"/>
          <w:szCs w:val="22"/>
          <w:lang w:val="sr-Cyrl-RS"/>
        </w:rPr>
        <w:t>С</w:t>
      </w:r>
      <w:r w:rsidR="00A57BA8">
        <w:rPr>
          <w:rFonts w:ascii="Tahoma" w:hAnsi="Tahoma" w:cs="Tahoma"/>
          <w:b/>
          <w:bCs/>
          <w:noProof/>
          <w:sz w:val="22"/>
          <w:szCs w:val="22"/>
          <w:lang w:val="sr-Cyrl-RS"/>
        </w:rPr>
        <w:t>медеревска Паланка</w:t>
      </w:r>
      <w:r w:rsidRPr="004B0DE8">
        <w:rPr>
          <w:rFonts w:ascii="Tahoma" w:hAnsi="Tahoma" w:cs="Tahoma"/>
          <w:b/>
          <w:bCs/>
          <w:noProof/>
          <w:sz w:val="22"/>
          <w:szCs w:val="22"/>
          <w:lang w:val="sr-Latn-RS"/>
        </w:rPr>
        <w:t xml:space="preserve"> </w:t>
      </w:r>
      <w:r w:rsidR="00D05063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за </w:t>
      </w:r>
      <w:r w:rsidRPr="004B0DE8">
        <w:rPr>
          <w:rFonts w:ascii="Tahoma" w:hAnsi="Tahoma" w:cs="Tahoma"/>
          <w:b/>
          <w:bCs/>
          <w:noProof/>
          <w:sz w:val="22"/>
          <w:szCs w:val="22"/>
          <w:lang w:val="sr-Latn-RS"/>
        </w:rPr>
        <w:t>201</w:t>
      </w:r>
      <w:r w:rsidR="00A57BA8">
        <w:rPr>
          <w:rFonts w:ascii="Tahoma" w:hAnsi="Tahoma" w:cs="Tahoma"/>
          <w:b/>
          <w:bCs/>
          <w:noProof/>
          <w:sz w:val="22"/>
          <w:szCs w:val="22"/>
          <w:lang w:val="sr-Cyrl-RS"/>
        </w:rPr>
        <w:t>2</w:t>
      </w:r>
      <w:r w:rsidRPr="004B0DE8">
        <w:rPr>
          <w:rFonts w:ascii="Tahoma" w:hAnsi="Tahoma" w:cs="Tahoma"/>
          <w:b/>
          <w:bCs/>
          <w:noProof/>
          <w:sz w:val="22"/>
          <w:szCs w:val="22"/>
          <w:lang w:val="sr-Latn-RS"/>
        </w:rPr>
        <w:t>. годину</w:t>
      </w:r>
      <w:r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и издала </w:t>
      </w:r>
      <w:r w:rsidRPr="004B0DE8">
        <w:rPr>
          <w:rFonts w:ascii="Tahoma" w:hAnsi="Tahoma" w:cs="Tahoma"/>
          <w:b/>
          <w:bCs/>
          <w:noProof/>
          <w:sz w:val="22"/>
          <w:szCs w:val="22"/>
          <w:lang w:val="sr-Latn-RS"/>
        </w:rPr>
        <w:t>је мишљење са резервом о консолидованим финансијским извештајима</w:t>
      </w:r>
      <w:r w:rsidR="00E02EA7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и</w:t>
      </w:r>
      <w:r w:rsidR="009F5616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правилности пословања.</w:t>
      </w:r>
    </w:p>
    <w:p w14:paraId="2EF53293" w14:textId="30799AE4" w:rsidR="00226F69" w:rsidRPr="00D3568A" w:rsidRDefault="00226F69" w:rsidP="008B0087">
      <w:pPr>
        <w:pStyle w:val="NormalWeb"/>
        <w:spacing w:before="0" w:beforeAutospacing="0" w:after="160" w:line="259" w:lineRule="auto"/>
        <w:jc w:val="both"/>
        <w:rPr>
          <w:rFonts w:ascii="Tahoma" w:hAnsi="Tahoma" w:cs="Tahoma"/>
          <w:noProof/>
          <w:sz w:val="22"/>
          <w:szCs w:val="22"/>
          <w:lang w:val="sr-Latn-RS"/>
        </w:rPr>
      </w:pPr>
      <w:r w:rsidRPr="00D3568A">
        <w:rPr>
          <w:rFonts w:ascii="Tahoma" w:hAnsi="Tahoma" w:cs="Tahoma"/>
          <w:noProof/>
          <w:sz w:val="22"/>
          <w:szCs w:val="22"/>
          <w:lang w:val="sr-Latn-RS"/>
        </w:rPr>
        <w:t>Према члану 79. Закона о буџетском систему завршни рачун буџета садржи:</w:t>
      </w:r>
    </w:p>
    <w:p w14:paraId="0FA20C72" w14:textId="77777777" w:rsidR="00226F69" w:rsidRPr="00D3568A" w:rsidRDefault="00226F69" w:rsidP="008B0087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160" w:line="259" w:lineRule="auto"/>
        <w:ind w:left="0"/>
        <w:jc w:val="both"/>
        <w:rPr>
          <w:rFonts w:ascii="Tahoma" w:hAnsi="Tahoma" w:cs="Tahoma"/>
          <w:noProof/>
          <w:sz w:val="22"/>
          <w:szCs w:val="22"/>
          <w:lang w:val="sr-Latn-RS"/>
        </w:rPr>
      </w:pPr>
      <w:r w:rsidRPr="00D3568A">
        <w:rPr>
          <w:rFonts w:ascii="Tahoma" w:hAnsi="Tahoma" w:cs="Tahoma"/>
          <w:noProof/>
          <w:sz w:val="22"/>
          <w:szCs w:val="22"/>
          <w:lang w:val="sr-Latn-RS"/>
        </w:rPr>
        <w:t>годишњи финансијски извештај о извршењу буџета, који садржи годишњи извештај о учинку програма, укључујући и учинак на унапређењу родне равноправности, са додатним напоменама, објашњењима и образложењима;</w:t>
      </w:r>
    </w:p>
    <w:p w14:paraId="56C41920" w14:textId="77777777" w:rsidR="00226F69" w:rsidRPr="00D3568A" w:rsidRDefault="00226F69" w:rsidP="008B0087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160" w:line="259" w:lineRule="auto"/>
        <w:ind w:left="0"/>
        <w:jc w:val="both"/>
        <w:rPr>
          <w:rFonts w:ascii="Tahoma" w:hAnsi="Tahoma" w:cs="Tahoma"/>
          <w:noProof/>
          <w:sz w:val="22"/>
          <w:szCs w:val="22"/>
          <w:lang w:val="sr-Latn-RS"/>
        </w:rPr>
      </w:pPr>
      <w:r w:rsidRPr="00D3568A">
        <w:rPr>
          <w:rFonts w:ascii="Tahoma" w:hAnsi="Tahoma" w:cs="Tahoma"/>
          <w:noProof/>
          <w:sz w:val="22"/>
          <w:szCs w:val="22"/>
          <w:lang w:val="sr-Latn-RS"/>
        </w:rPr>
        <w:t>извештај екстерне ревизије.</w:t>
      </w:r>
    </w:p>
    <w:p w14:paraId="3C04C4CE" w14:textId="77777777" w:rsidR="00226F69" w:rsidRDefault="00226F69" w:rsidP="00C24C15">
      <w:pPr>
        <w:pStyle w:val="NormalWeb"/>
        <w:spacing w:before="0" w:beforeAutospacing="0" w:after="160" w:line="259" w:lineRule="auto"/>
        <w:jc w:val="both"/>
        <w:rPr>
          <w:rFonts w:ascii="Tahoma" w:hAnsi="Tahoma" w:cs="Tahoma"/>
          <w:noProof/>
          <w:sz w:val="22"/>
          <w:szCs w:val="22"/>
          <w:lang w:val="sr-Latn-RS"/>
        </w:rPr>
      </w:pPr>
      <w:r w:rsidRPr="00D3568A">
        <w:rPr>
          <w:rFonts w:ascii="Tahoma" w:hAnsi="Tahoma" w:cs="Tahoma"/>
          <w:noProof/>
          <w:sz w:val="22"/>
          <w:szCs w:val="22"/>
          <w:lang w:val="sr-Latn-RS"/>
        </w:rPr>
        <w:t>Такође, наведеним Законом је предвиђено да екстерној ревизији подлежу и завршни рачуни буџета локалне власти, односно да ревизију врши Државна ревизорска институција (у даљем тексту: ДРИ), а уз сагласност те институције</w:t>
      </w:r>
      <w:r w:rsidR="00EA7D1F" w:rsidRPr="00D3568A">
        <w:rPr>
          <w:rFonts w:ascii="Tahoma" w:hAnsi="Tahoma" w:cs="Tahoma"/>
          <w:noProof/>
          <w:sz w:val="22"/>
          <w:szCs w:val="22"/>
          <w:lang w:val="sr-Cyrl-RS"/>
        </w:rPr>
        <w:t xml:space="preserve">, ревизију може вршити и друго правно лице. </w:t>
      </w:r>
      <w:r w:rsidRPr="00D3568A">
        <w:rPr>
          <w:rFonts w:ascii="Tahoma" w:hAnsi="Tahoma" w:cs="Tahoma"/>
          <w:noProof/>
          <w:sz w:val="22"/>
          <w:szCs w:val="22"/>
          <w:lang w:val="sr-Latn-RS"/>
        </w:rPr>
        <w:t>На основу одлуке скупштине локалн</w:t>
      </w:r>
      <w:r w:rsidR="00EA7D1F" w:rsidRPr="00D3568A">
        <w:rPr>
          <w:rFonts w:ascii="Tahoma" w:hAnsi="Tahoma" w:cs="Tahoma"/>
          <w:noProof/>
          <w:sz w:val="22"/>
          <w:szCs w:val="22"/>
          <w:lang w:val="sr-Cyrl-RS"/>
        </w:rPr>
        <w:t>е</w:t>
      </w:r>
      <w:r w:rsidRPr="00D3568A">
        <w:rPr>
          <w:rFonts w:ascii="Tahoma" w:hAnsi="Tahoma" w:cs="Tahoma"/>
          <w:noProof/>
          <w:sz w:val="22"/>
          <w:szCs w:val="22"/>
          <w:lang w:val="sr-Latn-RS"/>
        </w:rPr>
        <w:t xml:space="preserve"> власти, екстерну ревизију може да обави и лице које испуњава услове за обављање послова ревизије финансијских извештаја прописане законом којим се уређује рачуноводство и ревизија.</w:t>
      </w:r>
    </w:p>
    <w:p w14:paraId="7987311B" w14:textId="1619C5DD" w:rsidR="002C2F52" w:rsidRPr="00C72979" w:rsidRDefault="00C12861" w:rsidP="00C24C15">
      <w:pPr>
        <w:pStyle w:val="NormalWeb"/>
        <w:spacing w:before="0" w:beforeAutospacing="0"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C72979">
        <w:rPr>
          <w:rFonts w:ascii="Tahoma" w:hAnsi="Tahoma" w:cs="Tahoma"/>
          <w:noProof/>
          <w:sz w:val="22"/>
          <w:szCs w:val="22"/>
          <w:lang w:val="sr-Cyrl-RS"/>
        </w:rPr>
        <w:t xml:space="preserve">Ревизорским извештајем је наведено да </w:t>
      </w:r>
      <w:r w:rsidR="00F21B45" w:rsidRPr="00C72979">
        <w:rPr>
          <w:rFonts w:ascii="Tahoma" w:hAnsi="Tahoma" w:cs="Tahoma"/>
          <w:noProof/>
          <w:sz w:val="22"/>
          <w:szCs w:val="22"/>
          <w:lang w:val="sr-Cyrl-RS"/>
        </w:rPr>
        <w:t>ревизорски тим није било</w:t>
      </w:r>
      <w:r w:rsidR="009B753A" w:rsidRPr="00C72979">
        <w:rPr>
          <w:rFonts w:ascii="Tahoma" w:hAnsi="Tahoma" w:cs="Tahoma"/>
          <w:noProof/>
          <w:sz w:val="22"/>
          <w:szCs w:val="22"/>
          <w:lang w:val="sr-Cyrl-RS"/>
        </w:rPr>
        <w:t xml:space="preserve"> у стању да прибави довољно одговарајућих ревизијских доказа који би пружали основу за мишљење о стању имовине </w:t>
      </w:r>
      <w:r w:rsidR="00C72979" w:rsidRPr="00C72979">
        <w:rPr>
          <w:rFonts w:ascii="Tahoma" w:hAnsi="Tahoma" w:cs="Tahoma"/>
          <w:noProof/>
          <w:sz w:val="22"/>
          <w:szCs w:val="22"/>
          <w:lang w:val="sr-Cyrl-RS"/>
        </w:rPr>
        <w:t xml:space="preserve">и </w:t>
      </w:r>
      <w:r w:rsidR="009B753A" w:rsidRPr="00C72979">
        <w:rPr>
          <w:rFonts w:ascii="Tahoma" w:hAnsi="Tahoma" w:cs="Tahoma"/>
          <w:noProof/>
          <w:sz w:val="22"/>
          <w:szCs w:val="22"/>
          <w:lang w:val="sr-Cyrl-RS"/>
        </w:rPr>
        <w:t>обавеза општине Смедеревска Паланка. У складу са тим, н</w:t>
      </w:r>
      <w:r w:rsidR="00C72979" w:rsidRPr="00C72979">
        <w:rPr>
          <w:rFonts w:ascii="Tahoma" w:hAnsi="Tahoma" w:cs="Tahoma"/>
          <w:noProof/>
          <w:sz w:val="22"/>
          <w:szCs w:val="22"/>
          <w:lang w:val="sr-Cyrl-RS"/>
        </w:rPr>
        <w:t>ије</w:t>
      </w:r>
      <w:r w:rsidR="009B753A" w:rsidRPr="00C72979">
        <w:rPr>
          <w:rFonts w:ascii="Tahoma" w:hAnsi="Tahoma" w:cs="Tahoma"/>
          <w:noProof/>
          <w:sz w:val="22"/>
          <w:szCs w:val="22"/>
          <w:lang w:val="sr-Cyrl-RS"/>
        </w:rPr>
        <w:t xml:space="preserve"> израж</w:t>
      </w:r>
      <w:r w:rsidR="00C72979" w:rsidRPr="00C72979">
        <w:rPr>
          <w:rFonts w:ascii="Tahoma" w:hAnsi="Tahoma" w:cs="Tahoma"/>
          <w:noProof/>
          <w:sz w:val="22"/>
          <w:szCs w:val="22"/>
          <w:lang w:val="sr-Cyrl-RS"/>
        </w:rPr>
        <w:t>ено</w:t>
      </w:r>
      <w:r w:rsidR="009B753A" w:rsidRPr="00C72979">
        <w:rPr>
          <w:rFonts w:ascii="Tahoma" w:hAnsi="Tahoma" w:cs="Tahoma"/>
          <w:noProof/>
          <w:sz w:val="22"/>
          <w:szCs w:val="22"/>
          <w:lang w:val="sr-Cyrl-RS"/>
        </w:rPr>
        <w:t xml:space="preserve"> мишљење о Билансу стања општине Смедеревска Паланка на дан 31.12.2012. године.</w:t>
      </w:r>
    </w:p>
    <w:p w14:paraId="56F2E438" w14:textId="314E4A5A" w:rsidR="00226F69" w:rsidRPr="00D3568A" w:rsidRDefault="00226F69" w:rsidP="00C24C15">
      <w:pPr>
        <w:pStyle w:val="NormalWeb"/>
        <w:spacing w:before="0" w:beforeAutospacing="0" w:after="160" w:line="259" w:lineRule="auto"/>
        <w:jc w:val="both"/>
        <w:rPr>
          <w:rFonts w:ascii="Tahoma" w:hAnsi="Tahoma" w:cs="Tahoma"/>
          <w:noProof/>
          <w:sz w:val="22"/>
          <w:szCs w:val="22"/>
          <w:lang w:val="sr-Latn-RS"/>
        </w:rPr>
      </w:pPr>
      <w:r w:rsidRPr="00D3568A">
        <w:rPr>
          <w:rFonts w:ascii="Tahoma" w:hAnsi="Tahoma" w:cs="Tahoma"/>
          <w:noProof/>
          <w:sz w:val="22"/>
          <w:szCs w:val="22"/>
          <w:lang w:val="sr-Latn-RS"/>
        </w:rPr>
        <w:t xml:space="preserve">Основне примедбе и </w:t>
      </w:r>
      <w:r w:rsidR="00A03292">
        <w:rPr>
          <w:rFonts w:ascii="Tahoma" w:hAnsi="Tahoma" w:cs="Tahoma"/>
          <w:noProof/>
          <w:sz w:val="22"/>
          <w:szCs w:val="22"/>
          <w:lang w:val="sr-Cyrl-RS"/>
        </w:rPr>
        <w:t>утврђене неправилности</w:t>
      </w:r>
      <w:r w:rsidRPr="00D3568A">
        <w:rPr>
          <w:rFonts w:ascii="Tahoma" w:hAnsi="Tahoma" w:cs="Tahoma"/>
          <w:noProof/>
          <w:sz w:val="22"/>
          <w:szCs w:val="22"/>
          <w:lang w:val="sr-Latn-RS"/>
        </w:rPr>
        <w:t xml:space="preserve"> </w:t>
      </w:r>
      <w:r w:rsidR="00396E84">
        <w:rPr>
          <w:rFonts w:ascii="Tahoma" w:hAnsi="Tahoma" w:cs="Tahoma"/>
          <w:noProof/>
          <w:sz w:val="22"/>
          <w:szCs w:val="22"/>
          <w:lang w:val="sr-Cyrl-RS"/>
        </w:rPr>
        <w:t xml:space="preserve">општине </w:t>
      </w:r>
      <w:r w:rsidR="00D523D2">
        <w:rPr>
          <w:rFonts w:ascii="Tahoma" w:hAnsi="Tahoma" w:cs="Tahoma"/>
          <w:noProof/>
          <w:sz w:val="22"/>
          <w:szCs w:val="22"/>
          <w:lang w:val="sr-Cyrl-RS"/>
        </w:rPr>
        <w:t>Смедеревска Паланка</w:t>
      </w:r>
      <w:r w:rsidRPr="00D3568A">
        <w:rPr>
          <w:rFonts w:ascii="Tahoma" w:hAnsi="Tahoma" w:cs="Tahoma"/>
          <w:noProof/>
          <w:sz w:val="22"/>
          <w:szCs w:val="22"/>
          <w:lang w:val="sr-Latn-RS"/>
        </w:rPr>
        <w:t xml:space="preserve"> према Извештају ДРИ</w:t>
      </w:r>
      <w:r w:rsidR="00BB62F0" w:rsidRPr="00D3568A">
        <w:rPr>
          <w:rStyle w:val="FootnoteReference"/>
          <w:rFonts w:ascii="Tahoma" w:hAnsi="Tahoma" w:cs="Tahoma"/>
          <w:noProof/>
          <w:sz w:val="22"/>
          <w:szCs w:val="22"/>
          <w:lang w:val="sr-Latn-RS"/>
        </w:rPr>
        <w:footnoteReference w:id="17"/>
      </w:r>
      <w:r w:rsidRPr="00D3568A">
        <w:rPr>
          <w:rFonts w:ascii="Tahoma" w:hAnsi="Tahoma" w:cs="Tahoma"/>
          <w:noProof/>
          <w:sz w:val="22"/>
          <w:szCs w:val="22"/>
          <w:lang w:val="sr-Latn-RS"/>
        </w:rPr>
        <w:t xml:space="preserve"> су:</w:t>
      </w:r>
    </w:p>
    <w:p w14:paraId="0AB342EE" w14:textId="0D74B0F2" w:rsidR="007C5691" w:rsidRPr="009550F8" w:rsidRDefault="00793FCB" w:rsidP="008B0087">
      <w:pPr>
        <w:spacing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9550F8">
        <w:rPr>
          <w:rFonts w:ascii="Tahoma" w:hAnsi="Tahoma" w:cs="Tahoma"/>
          <w:noProof/>
          <w:sz w:val="22"/>
          <w:szCs w:val="22"/>
          <w:lang w:val="sr-Cyrl-RS"/>
        </w:rPr>
        <w:lastRenderedPageBreak/>
        <w:t>-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Општина није у потпуности успоставила систем интерних контрола који обезбеђује разумно уверавање да ће постављени циљеви бити остварени кроз пословање у складу са важећим прописима</w:t>
      </w:r>
      <w:r w:rsidR="00381F5B" w:rsidRPr="009550F8">
        <w:rPr>
          <w:rFonts w:ascii="Tahoma" w:hAnsi="Tahoma" w:cs="Tahoma"/>
          <w:noProof/>
          <w:sz w:val="22"/>
          <w:szCs w:val="22"/>
          <w:lang w:val="sr-Cyrl-RS"/>
        </w:rPr>
        <w:t>.</w:t>
      </w:r>
    </w:p>
    <w:p w14:paraId="08390EBB" w14:textId="77777777" w:rsidR="00381F5B" w:rsidRPr="009550F8" w:rsidRDefault="00381F5B" w:rsidP="008B0087">
      <w:pPr>
        <w:spacing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- 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>На дан 31.12.2012. године, број запослених на неодређено време у општини Смедеревска Паланка је већи за 65 од дозвољеног броја одређеног Законом о одређивању максималног броја запослених у локалној администрацији</w:t>
      </w:r>
      <w:r w:rsidRPr="009550F8">
        <w:rPr>
          <w:rFonts w:ascii="Tahoma" w:hAnsi="Tahoma" w:cs="Tahoma"/>
          <w:noProof/>
          <w:sz w:val="22"/>
          <w:szCs w:val="22"/>
          <w:lang w:val="sr-Cyrl-RS"/>
        </w:rPr>
        <w:t>.</w:t>
      </w:r>
    </w:p>
    <w:p w14:paraId="03C2CBEB" w14:textId="77777777" w:rsidR="00E67604" w:rsidRPr="009550F8" w:rsidRDefault="00381F5B" w:rsidP="008B0087">
      <w:pPr>
        <w:spacing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9550F8">
        <w:rPr>
          <w:rFonts w:ascii="Tahoma" w:hAnsi="Tahoma" w:cs="Tahoma"/>
          <w:noProof/>
          <w:sz w:val="22"/>
          <w:szCs w:val="22"/>
          <w:lang w:val="sr-Cyrl-RS"/>
        </w:rPr>
        <w:t>-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Јавна предузећа чији је оснивач општина Смедеревска Паланка, нису доставила програме пословања оснивачу у прописаном року. </w:t>
      </w:r>
    </w:p>
    <w:p w14:paraId="2B9DE8C8" w14:textId="77777777" w:rsidR="003D0559" w:rsidRPr="009550F8" w:rsidRDefault="00E67604" w:rsidP="008B0087">
      <w:pPr>
        <w:spacing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- 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>Интерним актима Општине није уређено питање начина, услова и критеријума у вези трошења јавних средстава у 2012. години за: коришћење службених возила, коришћење средстава репрезентације и угоститељских услуга, норматив о потрошњи горива службених возила</w:t>
      </w:r>
      <w:r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и 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>располагања имовином</w:t>
      </w:r>
      <w:r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. </w:t>
      </w:r>
    </w:p>
    <w:p w14:paraId="3B9BE109" w14:textId="77777777" w:rsidR="003D0559" w:rsidRPr="009550F8" w:rsidRDefault="00E67604" w:rsidP="008B0087">
      <w:pPr>
        <w:spacing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9550F8">
        <w:rPr>
          <w:rFonts w:ascii="Tahoma" w:hAnsi="Tahoma" w:cs="Tahoma"/>
          <w:noProof/>
          <w:sz w:val="22"/>
          <w:szCs w:val="22"/>
          <w:lang w:val="sr-Cyrl-RS"/>
        </w:rPr>
        <w:t>-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У достављању Предлога финансијских планова каснили су </w:t>
      </w:r>
      <w:r w:rsidR="003D0559" w:rsidRPr="009550F8">
        <w:rPr>
          <w:rFonts w:ascii="Tahoma" w:hAnsi="Tahoma" w:cs="Tahoma"/>
          <w:noProof/>
          <w:sz w:val="22"/>
          <w:szCs w:val="22"/>
          <w:lang w:val="sr-Cyrl-RS"/>
        </w:rPr>
        <w:t>одређени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корисници јавних средстава</w:t>
      </w:r>
      <w:r w:rsidR="003D0559" w:rsidRPr="009550F8">
        <w:rPr>
          <w:rFonts w:ascii="Tahoma" w:hAnsi="Tahoma" w:cs="Tahoma"/>
          <w:noProof/>
          <w:sz w:val="22"/>
          <w:szCs w:val="22"/>
          <w:lang w:val="sr-Cyrl-RS"/>
        </w:rPr>
        <w:t>, а у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Посебном делу Одлуке о буџету општине Смедеревска Паланка за 2012. годину нису исказани финансијски планови ДКБС према принципу поделе власти на законодавну и извршну</w:t>
      </w:r>
      <w:r w:rsidR="003D0559" w:rsidRPr="009550F8">
        <w:rPr>
          <w:rFonts w:ascii="Tahoma" w:hAnsi="Tahoma" w:cs="Tahoma"/>
          <w:noProof/>
          <w:sz w:val="22"/>
          <w:szCs w:val="22"/>
          <w:lang w:val="sr-Cyrl-RS"/>
        </w:rPr>
        <w:t>, односно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Буџет није припремљен на основу система јединствене буџетске класификације</w:t>
      </w:r>
      <w:r w:rsidR="003D0559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. </w:t>
      </w:r>
    </w:p>
    <w:p w14:paraId="355C2678" w14:textId="77777777" w:rsidR="003D0559" w:rsidRPr="009550F8" w:rsidRDefault="003D0559" w:rsidP="008B0087">
      <w:pPr>
        <w:spacing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- 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>За изабрана и постављена лица и запослене у општини Смедеревска Паланка више су обрачунате и исплаћене плате у укупном износу од 25.279 хиљада динара</w:t>
      </w:r>
      <w:r w:rsidRPr="009550F8">
        <w:rPr>
          <w:rFonts w:ascii="Tahoma" w:hAnsi="Tahoma" w:cs="Tahoma"/>
          <w:noProof/>
          <w:sz w:val="22"/>
          <w:szCs w:val="22"/>
          <w:lang w:val="sr-Cyrl-RS"/>
        </w:rPr>
        <w:t>.</w:t>
      </w:r>
    </w:p>
    <w:p w14:paraId="4FCCB255" w14:textId="77777777" w:rsidR="00444C3D" w:rsidRPr="009550F8" w:rsidRDefault="00056DF9" w:rsidP="008B0087">
      <w:pPr>
        <w:spacing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9550F8">
        <w:rPr>
          <w:rFonts w:ascii="Tahoma" w:hAnsi="Tahoma" w:cs="Tahoma"/>
          <w:noProof/>
          <w:sz w:val="22"/>
          <w:szCs w:val="22"/>
          <w:lang w:val="sr-Cyrl-RS"/>
        </w:rPr>
        <w:t>- У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>купна одступања од планираних и извршених расхода и издатака због погрешне економске класификације у износу од 56.871 хиљада динара, чији се ефекти, због међусобног потирања, нису одразили на укупан износ расхода и издатака</w:t>
      </w:r>
      <w:r w:rsidR="00444C3D" w:rsidRPr="009550F8">
        <w:rPr>
          <w:rFonts w:ascii="Tahoma" w:hAnsi="Tahoma" w:cs="Tahoma"/>
          <w:noProof/>
          <w:sz w:val="22"/>
          <w:szCs w:val="22"/>
          <w:lang w:val="sr-Cyrl-RS"/>
        </w:rPr>
        <w:t>, затим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расходи су више извршени у односу на одобрени износ апропријације у износу од 5.841 хиљаду динара. </w:t>
      </w:r>
    </w:p>
    <w:p w14:paraId="3B9B08F0" w14:textId="77777777" w:rsidR="00103707" w:rsidRPr="009550F8" w:rsidRDefault="00444C3D" w:rsidP="008B0087">
      <w:pPr>
        <w:spacing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9550F8">
        <w:rPr>
          <w:rFonts w:ascii="Tahoma" w:hAnsi="Tahoma" w:cs="Tahoma"/>
          <w:noProof/>
          <w:sz w:val="22"/>
          <w:szCs w:val="22"/>
          <w:lang w:val="sr-Cyrl-RS"/>
        </w:rPr>
        <w:t>- Б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>ез спроведеног поступка јавне набавке, преузете су обавезе и плаћене услуге, без писаног уговора у износу од 24.880 хиљада динара корисника буџетских средстава</w:t>
      </w:r>
      <w:r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. </w:t>
      </w:r>
    </w:p>
    <w:p w14:paraId="6A53FB89" w14:textId="77777777" w:rsidR="00E14963" w:rsidRPr="009550F8" w:rsidRDefault="00444C3D" w:rsidP="008B0087">
      <w:pPr>
        <w:spacing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- </w:t>
      </w:r>
      <w:r w:rsidR="00103707" w:rsidRPr="009550F8">
        <w:rPr>
          <w:rFonts w:ascii="Tahoma" w:hAnsi="Tahoma" w:cs="Tahoma"/>
          <w:noProof/>
          <w:sz w:val="22"/>
          <w:szCs w:val="22"/>
          <w:lang w:val="sr-Cyrl-RS"/>
        </w:rPr>
        <w:t>Б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ез веродостојне документације о насталој пословној промени у износу од 110.260 хиљада динара, извршена су плаћања код </w:t>
      </w:r>
      <w:r w:rsidR="00103707" w:rsidRPr="009550F8">
        <w:rPr>
          <w:rFonts w:ascii="Tahoma" w:hAnsi="Tahoma" w:cs="Tahoma"/>
          <w:noProof/>
          <w:sz w:val="22"/>
          <w:szCs w:val="22"/>
          <w:lang w:val="sr-Cyrl-RS"/>
        </w:rPr>
        <w:t>одређених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корисника буџетских средстава</w:t>
      </w:r>
      <w:r w:rsidR="007F2DBE" w:rsidRPr="009550F8">
        <w:rPr>
          <w:rFonts w:ascii="Tahoma" w:hAnsi="Tahoma" w:cs="Tahoma"/>
          <w:noProof/>
          <w:sz w:val="22"/>
          <w:szCs w:val="22"/>
          <w:lang w:val="sr-Cyrl-RS"/>
        </w:rPr>
        <w:t>, односно б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ез потписаног уговора, трансакције су извршене код корисника буџетских </w:t>
      </w:r>
    </w:p>
    <w:p w14:paraId="48AEF149" w14:textId="77777777" w:rsidR="009D1A42" w:rsidRPr="009550F8" w:rsidRDefault="00E14963" w:rsidP="008B0087">
      <w:pPr>
        <w:spacing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9550F8">
        <w:rPr>
          <w:rFonts w:ascii="Tahoma" w:hAnsi="Tahoma" w:cs="Tahoma"/>
          <w:noProof/>
          <w:sz w:val="22"/>
          <w:szCs w:val="22"/>
          <w:lang w:val="sr-Cyrl-RS"/>
        </w:rPr>
        <w:t>- И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ако су обезбедили средства у буџету, исплаћен је износ од 30.289 динара без правног основа код </w:t>
      </w:r>
      <w:r w:rsidR="00540658" w:rsidRPr="009550F8">
        <w:rPr>
          <w:rFonts w:ascii="Tahoma" w:hAnsi="Tahoma" w:cs="Tahoma"/>
          <w:noProof/>
          <w:sz w:val="22"/>
          <w:szCs w:val="22"/>
          <w:lang w:val="sr-Cyrl-RS"/>
        </w:rPr>
        <w:t>одређених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буџетских корисника</w:t>
      </w:r>
      <w:r w:rsidR="0054065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.  </w:t>
      </w:r>
      <w:r w:rsidR="009D1A42" w:rsidRPr="009550F8">
        <w:rPr>
          <w:rFonts w:ascii="Tahoma" w:hAnsi="Tahoma" w:cs="Tahoma"/>
          <w:noProof/>
          <w:sz w:val="22"/>
          <w:szCs w:val="22"/>
          <w:lang w:val="sr-Cyrl-RS"/>
        </w:rPr>
        <w:t>П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>лаћањ</w:t>
      </w:r>
      <w:r w:rsidR="009D1A42" w:rsidRPr="009550F8">
        <w:rPr>
          <w:rFonts w:ascii="Tahoma" w:hAnsi="Tahoma" w:cs="Tahoma"/>
          <w:noProof/>
          <w:sz w:val="22"/>
          <w:szCs w:val="22"/>
          <w:lang w:val="sr-Cyrl-RS"/>
        </w:rPr>
        <w:t>а су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извршен</w:t>
      </w:r>
      <w:r w:rsidR="009D1A42" w:rsidRPr="009550F8">
        <w:rPr>
          <w:rFonts w:ascii="Tahoma" w:hAnsi="Tahoma" w:cs="Tahoma"/>
          <w:noProof/>
          <w:sz w:val="22"/>
          <w:szCs w:val="22"/>
          <w:lang w:val="sr-Cyrl-RS"/>
        </w:rPr>
        <w:t>а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на основу уговора о преузимању дуга у износу од 18.818 хиљада динара, иако правна и физичка лица која обављају делатност нису могла да измирују обавезе уговарањем промене поверилаца, зато што су њихови рачуни блокирани</w:t>
      </w:r>
      <w:r w:rsidR="009D1A42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.  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</w:p>
    <w:p w14:paraId="047988B2" w14:textId="77777777" w:rsidR="00CD3766" w:rsidRPr="009550F8" w:rsidRDefault="00395A78" w:rsidP="008B0087">
      <w:pPr>
        <w:spacing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9550F8">
        <w:rPr>
          <w:rFonts w:ascii="Tahoma" w:hAnsi="Tahoma" w:cs="Tahoma"/>
          <w:noProof/>
          <w:sz w:val="22"/>
          <w:szCs w:val="22"/>
          <w:lang w:val="sr-Cyrl-RS"/>
        </w:rPr>
        <w:t>-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општина Смедеревска Паланка је извршила расходе у износу од 5.559 хиљада динара без спроведеног јавног конкурса и закључених уговора о реализовању одобрених програма и исплатила дотације удружењима грађана </w:t>
      </w:r>
    </w:p>
    <w:p w14:paraId="76222DD2" w14:textId="77777777" w:rsidR="00CD3766" w:rsidRPr="009550F8" w:rsidRDefault="00CD3766" w:rsidP="008B0087">
      <w:pPr>
        <w:spacing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9550F8">
        <w:rPr>
          <w:rFonts w:ascii="Tahoma" w:hAnsi="Tahoma" w:cs="Tahoma"/>
          <w:noProof/>
          <w:sz w:val="22"/>
          <w:szCs w:val="22"/>
          <w:lang w:val="sr-Cyrl-RS"/>
        </w:rPr>
        <w:t>-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Резултат пословања у Обрасцу број 2 – Биланс прихода и расхода није правилно исказан и то: буџетски суфицит је већи за 301 хиљаду динара због погрешног обухвата расхода, а 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lastRenderedPageBreak/>
        <w:t>фискални суфицит мањи за 53.797 хиљада динара за неисказану отплату по кредитима, као и за део новчаних средстава амортизације који је коришћен за набавку нефинансијске имовине у износу од 900 хиљада динара</w:t>
      </w:r>
      <w:r w:rsidRPr="009550F8">
        <w:rPr>
          <w:rFonts w:ascii="Tahoma" w:hAnsi="Tahoma" w:cs="Tahoma"/>
          <w:noProof/>
          <w:sz w:val="22"/>
          <w:szCs w:val="22"/>
          <w:lang w:val="sr-Cyrl-RS"/>
        </w:rPr>
        <w:t>.</w:t>
      </w:r>
    </w:p>
    <w:p w14:paraId="3579ABDC" w14:textId="77777777" w:rsidR="00CD3766" w:rsidRPr="009550F8" w:rsidRDefault="00CD3766" w:rsidP="008B0087">
      <w:pPr>
        <w:spacing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9550F8">
        <w:rPr>
          <w:rFonts w:ascii="Tahoma" w:hAnsi="Tahoma" w:cs="Tahoma"/>
          <w:noProof/>
          <w:sz w:val="22"/>
          <w:szCs w:val="22"/>
          <w:lang w:val="sr-Cyrl-RS"/>
        </w:rPr>
        <w:t>-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Код Обрасца 4 – Извештај о новчаним токовима настала је разлика на класи 700000 – Текући приходи за износ од 1.777 хиљада динара и на класи 400000 – Текући расходи за износ од 1.475 хиљада динара зато што није консолидовано боловање, није исказана корекција новчаних прилива за наплаћена средства која се не евидентирају преко класе 700000, 800000 и 900000 за износ од 949 хиљада динара, није исказана корекција новчаних одлива за износ обрачунате амортизације књижене на терет сопствених прихода за износ од 194 хиљаде динара и корекција новчаних расхода који се не евидентирају преко класе 400000, 500000 и 60000 за износ од 1.165 хиљада динара и салдо готовине за износ од 124 хиљаде динара</w:t>
      </w:r>
      <w:r w:rsidRPr="009550F8">
        <w:rPr>
          <w:rFonts w:ascii="Tahoma" w:hAnsi="Tahoma" w:cs="Tahoma"/>
          <w:noProof/>
          <w:sz w:val="22"/>
          <w:szCs w:val="22"/>
          <w:lang w:val="sr-Cyrl-RS"/>
        </w:rPr>
        <w:t>.</w:t>
      </w:r>
    </w:p>
    <w:p w14:paraId="63338845" w14:textId="77777777" w:rsidR="00FC3E8F" w:rsidRPr="009550F8" w:rsidRDefault="00CD3766" w:rsidP="008B0087">
      <w:pPr>
        <w:spacing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9550F8">
        <w:rPr>
          <w:rFonts w:ascii="Tahoma" w:hAnsi="Tahoma" w:cs="Tahoma"/>
          <w:noProof/>
          <w:sz w:val="22"/>
          <w:szCs w:val="22"/>
          <w:lang w:val="sr-Cyrl-RS"/>
        </w:rPr>
        <w:t>-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Приликом израде Завршног рачуна буџета, Општина није поступила у складу са Законом о буџетском систему, где директни корисници средстава буџета, који у својој надлежности имају индиректне кориснике нису контролисали, сравнили податке из завршних рачуна индиректних корисника и саставили своје годишње извештаје. </w:t>
      </w:r>
    </w:p>
    <w:p w14:paraId="3A61501F" w14:textId="6CE26795" w:rsidR="00B6255F" w:rsidRPr="009550F8" w:rsidRDefault="00FC3E8F" w:rsidP="008B0087">
      <w:pPr>
        <w:spacing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9550F8">
        <w:rPr>
          <w:rFonts w:ascii="Tahoma" w:hAnsi="Tahoma" w:cs="Tahoma"/>
          <w:noProof/>
          <w:sz w:val="22"/>
          <w:szCs w:val="22"/>
          <w:lang w:val="sr-Cyrl-RS"/>
        </w:rPr>
        <w:t>-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Pr="009550F8">
        <w:rPr>
          <w:rFonts w:ascii="Tahoma" w:hAnsi="Tahoma" w:cs="Tahoma"/>
          <w:noProof/>
          <w:sz w:val="22"/>
          <w:szCs w:val="22"/>
          <w:lang w:val="sr-Cyrl-RS"/>
        </w:rPr>
        <w:t>К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>од спровођења пописа имовине, потраживања и обавеза</w:t>
      </w:r>
      <w:r w:rsidR="00111028">
        <w:rPr>
          <w:rFonts w:ascii="Tahoma" w:hAnsi="Tahoma" w:cs="Tahoma"/>
          <w:noProof/>
          <w:sz w:val="22"/>
          <w:szCs w:val="22"/>
          <w:lang w:val="sr-Cyrl-RS"/>
        </w:rPr>
        <w:t xml:space="preserve"> су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утврђени пропусти и неправилности</w:t>
      </w:r>
      <w:r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у већем броју. </w:t>
      </w:r>
      <w:r w:rsidR="007958C1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У 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>пословним књигама директних и индиректних буџетских корисника није евидентирана вредност имовине</w:t>
      </w:r>
      <w:r w:rsidR="002E1808" w:rsidRPr="009550F8">
        <w:rPr>
          <w:rFonts w:ascii="Tahoma" w:hAnsi="Tahoma" w:cs="Tahoma"/>
          <w:noProof/>
          <w:sz w:val="22"/>
          <w:szCs w:val="22"/>
          <w:lang w:val="sr-Cyrl-RS"/>
        </w:rPr>
        <w:t>, затим о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>пштина Смедеревска Паланка нема у својим пословним књигама податке о опреми која је евидентирана у пословним књигама пре 01.01.2012. године, не води помоћне књиге опреме, није вршен обрачун амортизације и не може се утврдити вредност опреме</w:t>
      </w:r>
      <w:r w:rsidR="002E180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. 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>У пословним књигама и билансу стања општине Смедеревска Паланка није евидентирано учешће Општине у капиталу правних лица чији је оснивач у износу од 205.830 хиљада динара, па су финансијска имовина и капитал мање исказани за исти износ</w:t>
      </w:r>
      <w:r w:rsidR="002E1808" w:rsidRPr="009550F8">
        <w:rPr>
          <w:rFonts w:ascii="Tahoma" w:hAnsi="Tahoma" w:cs="Tahoma"/>
          <w:noProof/>
          <w:sz w:val="22"/>
          <w:szCs w:val="22"/>
          <w:lang w:val="sr-Cyrl-RS"/>
        </w:rPr>
        <w:t>.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Рачун извршења буџета општине Смедеревска Паланка је на дан 31.12.2012. године у блокади 30.530 хиљада динара</w:t>
      </w:r>
      <w:r w:rsidR="002E1808" w:rsidRPr="009550F8">
        <w:rPr>
          <w:rFonts w:ascii="Tahoma" w:hAnsi="Tahoma" w:cs="Tahoma"/>
          <w:noProof/>
          <w:sz w:val="22"/>
          <w:szCs w:val="22"/>
          <w:lang w:val="sr-Cyrl-RS"/>
        </w:rPr>
        <w:t>.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У пословним књигама и билансу стања општине Смедеревска Паланка нису евидентирана потраживања у износу од 15.000 хиљада динара, чиме су мање исказана актива и пасива за поменути износ</w:t>
      </w:r>
      <w:r w:rsidR="002D7D37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.  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>У консолидованом билансу стања буџета општине Смедеревска Паланка, обавезе су мање исказане у износу од 136.508 хиљада динара</w:t>
      </w:r>
      <w:r w:rsidR="002D7D37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.  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Износ преузетих обавеза по рачунима и уговорима већи је за 883.619 хиљада динара у односу на расположиви износ апропријације </w:t>
      </w:r>
      <w:r w:rsidR="00C61F1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код појединих корисника буџета општине. </w:t>
      </w:r>
    </w:p>
    <w:p w14:paraId="1389F0B4" w14:textId="7D80DEE6" w:rsidR="00DF4664" w:rsidRPr="009550F8" w:rsidRDefault="00B6255F" w:rsidP="008B0087">
      <w:pPr>
        <w:spacing w:after="160" w:line="259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9550F8">
        <w:rPr>
          <w:rFonts w:ascii="Tahoma" w:hAnsi="Tahoma" w:cs="Tahoma"/>
          <w:noProof/>
          <w:sz w:val="22"/>
          <w:szCs w:val="22"/>
          <w:lang w:val="sr-Cyrl-RS"/>
        </w:rPr>
        <w:t>-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У билансу стања нефинансијска имовина у сталним средствима је више исказана за износ од 11.789 хиљада динара, чиме су актива и пасива више исказане за тај износ</w:t>
      </w:r>
      <w:r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. 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>Утврђена је међусобна неусаглашеност вредности нефинансијске имовине у сталним средствима у активи и пасиви биланса стања за укупно 190 хиљада динара</w:t>
      </w:r>
      <w:r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. 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>Утврђена је међусобна неусаглашеност вредности финансијске имовине у активи и пасиви биланса стања за укупно 6.876 хиљада динара</w:t>
      </w:r>
      <w:r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. 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>Резултат пословања је неправилно исказан у износу од 63.138 хиљада динара суфицит и износ од 42.142 хиљаде динара дефицит</w:t>
      </w:r>
      <w:r w:rsidRPr="009550F8">
        <w:rPr>
          <w:rFonts w:ascii="Tahoma" w:hAnsi="Tahoma" w:cs="Tahoma"/>
          <w:noProof/>
          <w:sz w:val="22"/>
          <w:szCs w:val="22"/>
          <w:lang w:val="sr-Cyrl-RS"/>
        </w:rPr>
        <w:t>.</w:t>
      </w:r>
      <w:r w:rsidR="006B4128" w:rsidRPr="009550F8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</w:p>
    <w:p w14:paraId="5426EFAD" w14:textId="77777777" w:rsidR="009550F8" w:rsidRPr="009D1A42" w:rsidRDefault="009550F8" w:rsidP="008B0087">
      <w:pPr>
        <w:spacing w:after="160" w:line="259" w:lineRule="auto"/>
        <w:jc w:val="both"/>
        <w:rPr>
          <w:lang w:val="sr-Cyrl-RS"/>
        </w:rPr>
      </w:pPr>
    </w:p>
    <w:p w14:paraId="3C1EA926" w14:textId="77777777" w:rsidR="00F44A38" w:rsidRDefault="00D3568A" w:rsidP="008B0087">
      <w:pPr>
        <w:pStyle w:val="Heading3"/>
        <w:numPr>
          <w:ilvl w:val="0"/>
          <w:numId w:val="0"/>
        </w:numPr>
        <w:spacing w:before="0" w:after="160" w:line="259" w:lineRule="auto"/>
        <w:jc w:val="both"/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hu-HU"/>
        </w:rPr>
      </w:pPr>
      <w:r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sr-Cyrl-RS"/>
        </w:rPr>
        <w:lastRenderedPageBreak/>
        <w:t xml:space="preserve">11. Закључна разматрања и препоруке </w:t>
      </w:r>
      <w:r w:rsidR="00FF1792"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hu-HU"/>
        </w:rPr>
        <w:t xml:space="preserve">  </w:t>
      </w:r>
    </w:p>
    <w:p w14:paraId="1130E544" w14:textId="40D4BB35" w:rsidR="00D3568A" w:rsidRPr="00FF1792" w:rsidRDefault="00FF1792" w:rsidP="008B0087">
      <w:pPr>
        <w:pStyle w:val="Heading3"/>
        <w:numPr>
          <w:ilvl w:val="0"/>
          <w:numId w:val="0"/>
        </w:numPr>
        <w:spacing w:before="0" w:after="160" w:line="259" w:lineRule="auto"/>
        <w:jc w:val="both"/>
        <w:rPr>
          <w:rFonts w:ascii="Tahoma" w:hAnsi="Tahoma" w:cs="Tahoma"/>
          <w:b/>
          <w:bCs/>
          <w:noProof/>
          <w:color w:val="2F5496" w:themeColor="accent5" w:themeShade="BF"/>
          <w:sz w:val="28"/>
          <w:szCs w:val="28"/>
          <w:lang w:val="hu-HU"/>
        </w:rPr>
      </w:pPr>
      <w:r w:rsidRPr="00FF1792">
        <w:rPr>
          <w:rStyle w:val="Heading1Char"/>
          <w:rFonts w:ascii="Tahoma" w:hAnsi="Tahoma" w:cs="Tahoma"/>
          <w:b/>
          <w:bCs/>
          <w:noProof/>
          <w:color w:val="FF0000"/>
          <w:sz w:val="16"/>
          <w:szCs w:val="16"/>
          <w:lang w:val="sr-Cyrl-RS"/>
        </w:rPr>
        <w:t xml:space="preserve"> </w:t>
      </w:r>
    </w:p>
    <w:p w14:paraId="1D3FB970" w14:textId="2870BC4A" w:rsidR="00495694" w:rsidRDefault="00495694" w:rsidP="008B0087">
      <w:pPr>
        <w:pStyle w:val="Heading3"/>
        <w:spacing w:before="0" w:after="160" w:line="259" w:lineRule="auto"/>
        <w:ind w:left="0"/>
        <w:jc w:val="both"/>
        <w:rPr>
          <w:rFonts w:ascii="Tahoma" w:hAnsi="Tahoma" w:cs="Tahoma"/>
          <w:b/>
          <w:bCs/>
          <w:noProof/>
          <w:lang w:val="sr-Cyrl-RS"/>
        </w:rPr>
      </w:pPr>
      <w:r>
        <w:rPr>
          <w:rFonts w:ascii="Tahoma" w:hAnsi="Tahoma" w:cs="Tahoma"/>
          <w:b/>
          <w:bCs/>
          <w:noProof/>
          <w:lang w:val="sr-Cyrl-RS"/>
        </w:rPr>
        <w:t>11</w:t>
      </w:r>
      <w:r w:rsidRPr="007E00CE">
        <w:rPr>
          <w:rFonts w:ascii="Tahoma" w:hAnsi="Tahoma" w:cs="Tahoma"/>
          <w:b/>
          <w:bCs/>
          <w:noProof/>
          <w:lang w:val="sr-Cyrl-RS"/>
        </w:rPr>
        <w:t xml:space="preserve">.1. </w:t>
      </w:r>
      <w:r>
        <w:rPr>
          <w:rFonts w:ascii="Tahoma" w:hAnsi="Tahoma" w:cs="Tahoma"/>
          <w:b/>
          <w:bCs/>
          <w:noProof/>
          <w:lang w:val="sr-Cyrl-RS"/>
        </w:rPr>
        <w:t>Закључна разматрања</w:t>
      </w:r>
      <w:r w:rsidR="00533D49">
        <w:rPr>
          <w:rFonts w:ascii="Tahoma" w:hAnsi="Tahoma" w:cs="Tahoma"/>
          <w:b/>
          <w:bCs/>
          <w:noProof/>
          <w:lang w:val="sr-Cyrl-RS"/>
        </w:rPr>
        <w:t xml:space="preserve">  </w:t>
      </w:r>
    </w:p>
    <w:p w14:paraId="7DD52F38" w14:textId="77777777" w:rsidR="00F44A38" w:rsidRDefault="00F44A38" w:rsidP="00F44A38">
      <w:pPr>
        <w:pStyle w:val="ListParagraph"/>
        <w:spacing w:after="160" w:line="259" w:lineRule="auto"/>
        <w:ind w:left="0"/>
        <w:jc w:val="both"/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</w:pPr>
    </w:p>
    <w:p w14:paraId="576E5EE7" w14:textId="3355F8BB" w:rsidR="00495694" w:rsidRPr="00F44A38" w:rsidRDefault="00C445B0" w:rsidP="008B0087">
      <w:pPr>
        <w:pStyle w:val="ListParagraph"/>
        <w:numPr>
          <w:ilvl w:val="0"/>
          <w:numId w:val="2"/>
        </w:numPr>
        <w:spacing w:after="160" w:line="259" w:lineRule="auto"/>
        <w:ind w:left="0"/>
        <w:jc w:val="both"/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Квалитет буџетског процеса, почев од поштовања календара при </w:t>
      </w:r>
      <w:r w:rsidR="0095263A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изради</w:t>
      </w:r>
      <w:r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и по питању </w:t>
      </w:r>
      <w:r w:rsidR="0095263A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доношења најважније одлуке јединице локалне самоуправе може </w:t>
      </w:r>
      <w:r w:rsidR="000038D1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се </w:t>
      </w:r>
      <w:r w:rsidR="0095263A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оценити као </w:t>
      </w:r>
      <w:r w:rsidR="00CF6807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добар</w:t>
      </w:r>
      <w:r w:rsidR="0095263A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, али са </w:t>
      </w:r>
      <w:r w:rsidR="00915003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одређени</w:t>
      </w:r>
      <w:r w:rsidR="0095263A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м бројем недостатака.</w:t>
      </w:r>
      <w:r w:rsidR="00911F5F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95263A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Мањкавост</w:t>
      </w:r>
      <w:r w:rsidR="00911F5F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буџетског процеса се огледа у </w:t>
      </w:r>
      <w:r w:rsidR="00520528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недостацима </w:t>
      </w:r>
      <w:r w:rsidR="00CF413C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образложења</w:t>
      </w:r>
      <w:r w:rsidR="00E63934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буџета, </w:t>
      </w:r>
      <w:r w:rsidR="00041CBC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јер</w:t>
      </w:r>
      <w:r w:rsidR="006D2F9A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представљањ</w:t>
      </w:r>
      <w:r w:rsidR="005F1BF3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е</w:t>
      </w:r>
      <w:r w:rsidR="006D2F9A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програмских информација</w:t>
      </w:r>
      <w:r w:rsidR="00041CBC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се врши у општем делу буџета (кроз посебан члан 8.)</w:t>
      </w:r>
      <w:r w:rsidR="00263BE7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.</w:t>
      </w:r>
      <w:r w:rsidR="00BE6E33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FD22AE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Са друге стране</w:t>
      </w:r>
      <w:r w:rsidR="00F75AE9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,</w:t>
      </w:r>
      <w:r w:rsidR="00FD22AE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општина </w:t>
      </w:r>
      <w:r w:rsidR="00BE6E33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С</w:t>
      </w:r>
      <w:r w:rsidR="00263BE7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медеревска Паланка</w:t>
      </w:r>
      <w:r w:rsidR="00D651A9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припрема и објављује грађански водич кроз одлуку о буџету на својој интернет страници</w:t>
      </w:r>
      <w:r w:rsidR="009D7A6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почев од 2021. године</w:t>
      </w:r>
      <w:r w:rsidR="00B717F6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, </w:t>
      </w:r>
      <w:r w:rsidR="00031FE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док</w:t>
      </w:r>
      <w:r w:rsidR="00B717F6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планови поступног увођења </w:t>
      </w:r>
      <w:r w:rsidR="002D2B0A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родно одговорног буџетирања</w:t>
      </w:r>
      <w:r w:rsidR="004A0195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031FE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нису доступни на сајту општине</w:t>
      </w:r>
      <w:r w:rsidR="00CE0E6F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. </w:t>
      </w:r>
      <w:r w:rsidR="008D2A7B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Поред тога, </w:t>
      </w:r>
      <w:r w:rsidR="004E7D69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по питању</w:t>
      </w:r>
      <w:r w:rsidR="008D2A7B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3567CE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транспарент</w:t>
      </w:r>
      <w:r w:rsidR="00EF3CAE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ности</w:t>
      </w:r>
      <w:r w:rsidR="003567CE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, нису </w:t>
      </w:r>
      <w:r w:rsidR="008D2A7B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објављени документи </w:t>
      </w:r>
      <w:r w:rsidR="003567CE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по спроведен</w:t>
      </w:r>
      <w:r w:rsidR="004E7D69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им</w:t>
      </w:r>
      <w:r w:rsidR="003567CE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јавн</w:t>
      </w:r>
      <w:r w:rsidR="004E7D69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им</w:t>
      </w:r>
      <w:r w:rsidR="003567CE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расправ</w:t>
      </w:r>
      <w:r w:rsidR="004E7D69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ама</w:t>
      </w:r>
      <w:r w:rsidR="003567CE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о инвестиционом делу буџета општине, а кој</w:t>
      </w:r>
      <w:r w:rsidR="00E17630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а </w:t>
      </w:r>
      <w:r w:rsidR="008C17CE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су</w:t>
      </w:r>
      <w:r w:rsidR="00E17630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обавезна према законским прописима</w:t>
      </w:r>
      <w:r w:rsidR="0009169F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(позив за учешће у јавној расправи, извештаји о спроведеним јавним расправама)</w:t>
      </w:r>
      <w:r w:rsidR="00E17630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. </w:t>
      </w:r>
    </w:p>
    <w:p w14:paraId="3307D530" w14:textId="77777777" w:rsidR="006D1046" w:rsidRPr="00F44A38" w:rsidRDefault="00093392" w:rsidP="006D1046">
      <w:pPr>
        <w:pStyle w:val="ListParagraph"/>
        <w:numPr>
          <w:ilvl w:val="0"/>
          <w:numId w:val="2"/>
        </w:numPr>
        <w:spacing w:after="160" w:line="259" w:lineRule="auto"/>
        <w:ind w:left="0"/>
        <w:jc w:val="both"/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Стабилност јавних финансија оцењена је као позитивна кроз анализу завршних рачуна буџета </w:t>
      </w:r>
      <w:r w:rsidR="00AE72ED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општине</w:t>
      </w:r>
      <w:r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и других доступних података, а што уједно и претпоставља да </w:t>
      </w:r>
      <w:r w:rsidR="00AE72ED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општини</w:t>
      </w:r>
      <w:r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стоје на располагању неопходни </w:t>
      </w:r>
      <w:r w:rsidR="008B5E90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(али и ограничени) </w:t>
      </w:r>
      <w:r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извори за финансирање кључних развојних приоритета. </w:t>
      </w:r>
      <w:r w:rsidR="00D65D55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Предметни закључак можемо извести и на основу тога да </w:t>
      </w:r>
      <w:r w:rsidR="00AE72ED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општина </w:t>
      </w:r>
      <w:r w:rsidR="00421752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Смедеревска Паланка</w:t>
      </w:r>
      <w:r w:rsidR="00447620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бележи </w:t>
      </w:r>
      <w:r w:rsidR="00A10861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евидентан</w:t>
      </w:r>
      <w:r w:rsidR="00447620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раст укупних прихода и примања у протеклих  </w:t>
      </w:r>
      <w:r w:rsidR="00A10861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10</w:t>
      </w:r>
      <w:r w:rsidR="00447620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година (преко </w:t>
      </w:r>
      <w:r w:rsidR="00421752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76</w:t>
      </w:r>
      <w:r w:rsidR="00447620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% повећања) и </w:t>
      </w:r>
      <w:r w:rsidR="00A10861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у последњим годинама анализе повећани </w:t>
      </w:r>
      <w:r w:rsidR="00B14E3D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су </w:t>
      </w:r>
      <w:r w:rsidR="00A10861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јој </w:t>
      </w:r>
      <w:r w:rsidR="007E1E38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све врсте пореских и непореских прихода</w:t>
      </w:r>
      <w:r w:rsidR="00A10861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, те се смањује зависност општине од </w:t>
      </w:r>
      <w:r w:rsidR="00447620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трансферн</w:t>
      </w:r>
      <w:r w:rsidR="00A10861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их</w:t>
      </w:r>
      <w:r w:rsidR="00447620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прихода са виших нивоа власти</w:t>
      </w:r>
      <w:r w:rsidR="00881CCE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(мада учешће ненаменског трансфера из Републичког буџета и даље на нивоу од </w:t>
      </w:r>
      <w:r w:rsidR="00421752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20,6</w:t>
      </w:r>
      <w:r w:rsidR="00881CCE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%</w:t>
      </w:r>
      <w:r w:rsidR="00951B79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)</w:t>
      </w:r>
      <w:r w:rsidR="00A10861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.</w:t>
      </w:r>
      <w:r w:rsidR="00447620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421752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П</w:t>
      </w:r>
      <w:r w:rsidR="00447620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риход</w:t>
      </w:r>
      <w:r w:rsidR="00F60C0D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и</w:t>
      </w:r>
      <w:r w:rsidR="00447620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од </w:t>
      </w:r>
      <w:r w:rsidR="00A10861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наменских трансфера </w:t>
      </w:r>
      <w:r w:rsidR="00421752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су повећана у анализираном периоду, али мањим делом за п</w:t>
      </w:r>
      <w:r w:rsidR="00A10861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оједина капитална улагања</w:t>
      </w:r>
      <w:r w:rsidR="00884472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, </w:t>
      </w:r>
      <w:r w:rsidR="00B72CBF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884472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те је тај део прихода</w:t>
      </w:r>
      <w:r w:rsidR="00D27C8B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мање у односу на</w:t>
      </w:r>
      <w:r w:rsidR="00A10861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просек релативног учешћа ових трансфера у региону</w:t>
      </w:r>
      <w:r w:rsidR="00F01016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. </w:t>
      </w:r>
      <w:r w:rsidR="00A10861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</w:p>
    <w:p w14:paraId="59A05E1F" w14:textId="6FC366B4" w:rsidR="00846642" w:rsidRPr="00F44A38" w:rsidRDefault="00B7417D" w:rsidP="00445F72">
      <w:pPr>
        <w:pStyle w:val="ListParagraph"/>
        <w:numPr>
          <w:ilvl w:val="0"/>
          <w:numId w:val="2"/>
        </w:numPr>
        <w:spacing w:after="160" w:line="259" w:lineRule="auto"/>
        <w:ind w:left="0"/>
        <w:jc w:val="both"/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У општини </w:t>
      </w:r>
      <w:r w:rsidR="0030744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Смедеревска Паланка</w:t>
      </w:r>
      <w:r w:rsidR="00E076FC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највиш</w:t>
      </w:r>
      <w:r w:rsidR="001360D8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е </w:t>
      </w:r>
      <w:r w:rsidR="00E076FC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су </w:t>
      </w:r>
      <w:r w:rsidR="001360D8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подржани </w:t>
      </w:r>
      <w:r w:rsidR="00E076FC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програми </w:t>
      </w:r>
      <w:r w:rsidR="001360D8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буџетским изворима</w:t>
      </w:r>
      <w:r w:rsidR="00E076FC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6D1046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као што су:</w:t>
      </w:r>
      <w:r w:rsidR="0030744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програм 8 – Предшколско васпитање и програм 9 – Основно образовање, </w:t>
      </w:r>
      <w:r w:rsidR="006D1046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односно</w:t>
      </w:r>
      <w:r w:rsidR="00307444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30744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13 – Развој културе и информисања</w:t>
      </w:r>
      <w:r w:rsidR="00307444" w:rsidRPr="00F44A38">
        <w:rPr>
          <w:rFonts w:ascii="Tahoma" w:hAnsi="Tahoma" w:cs="Tahoma"/>
          <w:noProof/>
          <w:color w:val="auto"/>
          <w:sz w:val="22"/>
          <w:szCs w:val="22"/>
          <w:lang w:val="en-US"/>
        </w:rPr>
        <w:t>,</w:t>
      </w:r>
      <w:r w:rsidR="0030744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15 – Опште услуге локалне самоуправе и  програм</w:t>
      </w:r>
      <w:r w:rsidR="00561F1E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30744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16 – Политички систем локалне самоуправе</w:t>
      </w:r>
      <w:r w:rsidR="0030744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. </w:t>
      </w:r>
      <w:r w:rsidR="0030744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Набројани програми значајно одступају од просека извршења истих програма код осталих ЈЛС у Србији, у позитивном смислу</w:t>
      </w:r>
      <w:r w:rsidR="0030744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. </w:t>
      </w:r>
      <w:r w:rsidR="0030744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Међутим, </w:t>
      </w:r>
      <w:r w:rsidR="003818F3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буџетски програми </w:t>
      </w:r>
      <w:r w:rsidR="0030744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3 – Локални економски развој</w:t>
      </w:r>
      <w:r w:rsidR="00307444" w:rsidRPr="00F44A38">
        <w:rPr>
          <w:rFonts w:ascii="Tahoma" w:hAnsi="Tahoma" w:cs="Tahoma"/>
          <w:noProof/>
          <w:color w:val="auto"/>
          <w:sz w:val="22"/>
          <w:szCs w:val="22"/>
          <w:lang w:val="hu-HU"/>
        </w:rPr>
        <w:t xml:space="preserve">, </w:t>
      </w:r>
      <w:r w:rsidR="0030744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4 – Развој туризма и 17 – Енергетска ефикасност и обновљиви извори енергије</w:t>
      </w:r>
      <w:r w:rsidR="003818F3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30744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ни</w:t>
      </w:r>
      <w:r w:rsidR="003818F3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су</w:t>
      </w:r>
      <w:r w:rsidR="0030744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буџетиран</w:t>
      </w:r>
      <w:r w:rsidR="003818F3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и</w:t>
      </w:r>
      <w:r w:rsidR="0030744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. Одлука о буџету општине </w:t>
      </w:r>
      <w:r w:rsidR="00445F72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Смедеревска Паланка</w:t>
      </w:r>
      <w:r w:rsidR="0030744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садржи уобичајене ознаке по функционалној класификацији</w:t>
      </w:r>
      <w:r w:rsidR="00445F72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.</w:t>
      </w:r>
    </w:p>
    <w:p w14:paraId="41D97F01" w14:textId="2A98B605" w:rsidR="00F749EB" w:rsidRPr="00F44A38" w:rsidRDefault="00F749EB" w:rsidP="00304293">
      <w:pPr>
        <w:pStyle w:val="ListParagraph"/>
        <w:numPr>
          <w:ilvl w:val="0"/>
          <w:numId w:val="2"/>
        </w:numPr>
        <w:spacing w:after="160" w:line="259" w:lineRule="auto"/>
        <w:ind w:left="0"/>
        <w:jc w:val="both"/>
        <w:rPr>
          <w:rFonts w:ascii="Tahoma" w:hAnsi="Tahoma" w:cs="Tahoma"/>
          <w:noProof/>
          <w:color w:val="auto"/>
          <w:sz w:val="22"/>
          <w:szCs w:val="22"/>
          <w:lang w:val="sr-Cyrl-BA"/>
        </w:rPr>
      </w:pPr>
      <w:r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Релативно учешће расхода за запослене у </w:t>
      </w:r>
      <w:r w:rsidR="00BC5786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општини </w:t>
      </w:r>
      <w:r w:rsidR="00B9205C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Смедеревска Паланка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је </w:t>
      </w:r>
      <w:r w:rsidR="008C58B3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35,3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%</w:t>
      </w:r>
      <w:r w:rsidR="0010406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,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B14E3D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које</w:t>
      </w:r>
      <w:r w:rsidR="00BD7EAD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9A0D60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је </w:t>
      </w:r>
      <w:r w:rsidR="008C58B3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знатно изнад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просек</w:t>
      </w:r>
      <w:r w:rsidR="00FC769D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а у односу на </w:t>
      </w:r>
      <w:r w:rsidR="00BC5786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општин</w:t>
      </w:r>
      <w:r w:rsidR="00FC769D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е</w:t>
      </w:r>
      <w:r w:rsidR="00201C49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у 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региону </w:t>
      </w:r>
      <w:r w:rsidR="00201C49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(</w:t>
      </w:r>
      <w:r w:rsidR="003C7245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28%</w:t>
      </w:r>
      <w:r w:rsidR="00201C49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)</w:t>
      </w:r>
      <w:r w:rsidR="00315196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. </w:t>
      </w:r>
      <w:r w:rsidR="00BD7EAD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Р</w:t>
      </w:r>
      <w:r w:rsidR="00BC5786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асхо</w:t>
      </w:r>
      <w:r w:rsidR="00BD7EAD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ди</w:t>
      </w:r>
      <w:r w:rsidR="00BC5786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за </w:t>
      </w:r>
      <w:r w:rsidR="00225272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категорију расхода 42 – Коришћење </w:t>
      </w:r>
      <w:r w:rsidR="00CF783A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услуга и роба са својим учешћем </w:t>
      </w:r>
      <w:r w:rsidR="008262AE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преко </w:t>
      </w:r>
      <w:r w:rsidR="008C58B3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32</w:t>
      </w:r>
      <w:r w:rsidR="008262AE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% представљају значајнију категорију расхода буџета општине, док су издвајања за трансфере</w:t>
      </w:r>
      <w:r w:rsidR="00304293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(463 и 464)</w:t>
      </w:r>
      <w:r w:rsidR="003C7245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BD7EAD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се реализују са процентуалним учешћем мањим од просека</w:t>
      </w:r>
      <w:r w:rsidR="0022478D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. Величина расхода планираних и извршених </w:t>
      </w:r>
      <w:r w:rsidR="0022478D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lastRenderedPageBreak/>
        <w:t xml:space="preserve">на име дотације невладиним организацијама са </w:t>
      </w:r>
      <w:r w:rsidR="00A666AD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просечним износом од </w:t>
      </w:r>
      <w:r w:rsidR="00292F29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26</w:t>
      </w:r>
      <w:r w:rsidR="00A666AD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милиона динара годишње</w:t>
      </w:r>
      <w:r w:rsidR="00771226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је</w:t>
      </w:r>
      <w:r w:rsidR="00A666AD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292F29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такође мања</w:t>
      </w:r>
      <w:r w:rsidR="00A666AD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у односу на просек региона</w:t>
      </w:r>
      <w:r w:rsidR="00292F29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, као и</w:t>
      </w:r>
      <w:r w:rsidR="00BC5786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просечно извршење </w:t>
      </w:r>
      <w:r w:rsidR="00BD7EAD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издатака за капиталне инвестиције са </w:t>
      </w:r>
      <w:r w:rsidR="00080951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5,7</w:t>
      </w:r>
      <w:r w:rsidR="00BD7EAD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%</w:t>
      </w:r>
      <w:r w:rsidR="00080951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, </w:t>
      </w:r>
      <w:r w:rsidR="00857E2D">
        <w:rPr>
          <w:rFonts w:ascii="Tahoma" w:hAnsi="Tahoma" w:cs="Tahoma"/>
          <w:noProof/>
          <w:color w:val="auto"/>
          <w:sz w:val="22"/>
          <w:szCs w:val="22"/>
          <w:lang w:val="sr-Cyrl-BA"/>
        </w:rPr>
        <w:t>док се</w:t>
      </w:r>
      <w:r w:rsidR="00080951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просек региона </w:t>
      </w:r>
      <w:r w:rsidR="00D47D83">
        <w:rPr>
          <w:rFonts w:ascii="Tahoma" w:hAnsi="Tahoma" w:cs="Tahoma"/>
          <w:noProof/>
          <w:color w:val="auto"/>
          <w:sz w:val="22"/>
          <w:szCs w:val="22"/>
          <w:lang w:val="sr-Cyrl-BA"/>
        </w:rPr>
        <w:t>креће око</w:t>
      </w:r>
      <w:r w:rsidR="00BD7EAD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080951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14,7%.</w:t>
      </w:r>
    </w:p>
    <w:p w14:paraId="3000881D" w14:textId="533E8DC4" w:rsidR="00F749EB" w:rsidRPr="00F44A38" w:rsidRDefault="00B474C2" w:rsidP="008B0087">
      <w:pPr>
        <w:pStyle w:val="ListParagraph"/>
        <w:numPr>
          <w:ilvl w:val="0"/>
          <w:numId w:val="2"/>
        </w:numPr>
        <w:spacing w:after="160" w:line="259" w:lineRule="auto"/>
        <w:ind w:left="0"/>
        <w:jc w:val="both"/>
        <w:rPr>
          <w:rFonts w:ascii="Tahoma" w:hAnsi="Tahoma" w:cs="Tahoma"/>
          <w:noProof/>
          <w:color w:val="auto"/>
          <w:sz w:val="22"/>
          <w:szCs w:val="22"/>
          <w:lang w:val="sr-Cyrl-BA"/>
        </w:rPr>
      </w:pPr>
      <w:r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Релативно учешће </w:t>
      </w:r>
      <w:r w:rsidR="00685B0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различитих 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извора финансирања </w:t>
      </w:r>
      <w:r w:rsidR="00685B0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одговара</w:t>
      </w:r>
      <w:r w:rsidR="00BC7BFD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ју</w:t>
      </w:r>
      <w:r w:rsidR="00685B0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просечним подацима учешћа појединих извора у односу на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остал</w:t>
      </w:r>
      <w:r w:rsidR="00685B0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е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ЈЛС </w:t>
      </w:r>
      <w:r w:rsidR="00E40DB0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сличних величина 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у Републици</w:t>
      </w:r>
      <w:r w:rsidR="00676A82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, </w:t>
      </w:r>
      <w:r w:rsidR="00E667B7">
        <w:rPr>
          <w:rFonts w:ascii="Tahoma" w:hAnsi="Tahoma" w:cs="Tahoma"/>
          <w:noProof/>
          <w:color w:val="auto"/>
          <w:sz w:val="22"/>
          <w:szCs w:val="22"/>
          <w:lang w:val="sr-Cyrl-BA"/>
        </w:rPr>
        <w:t>и користи</w:t>
      </w:r>
      <w:r w:rsidR="00676A82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с</w:t>
      </w:r>
      <w:r w:rsidR="00C61AA1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е</w:t>
      </w:r>
      <w:r w:rsidR="00676A82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E667B7">
        <w:rPr>
          <w:rFonts w:ascii="Tahoma" w:hAnsi="Tahoma" w:cs="Tahoma"/>
          <w:noProof/>
          <w:color w:val="auto"/>
          <w:sz w:val="22"/>
          <w:szCs w:val="22"/>
          <w:lang w:val="sr-Cyrl-BA"/>
        </w:rPr>
        <w:t>одговарајући</w:t>
      </w:r>
      <w:r w:rsidR="00F0716E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број различитих класификационих ознака за </w:t>
      </w:r>
      <w:r w:rsidR="00E667B7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релевантне </w:t>
      </w:r>
      <w:r w:rsidR="00F0716E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изворе финаснирања. </w:t>
      </w:r>
      <w:r w:rsidR="00BC7BFD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  <w:r w:rsidR="0010753D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 </w:t>
      </w:r>
    </w:p>
    <w:p w14:paraId="7C893F8E" w14:textId="6B3049A2" w:rsidR="000375DE" w:rsidRPr="00F44A38" w:rsidRDefault="000375DE" w:rsidP="000375DE">
      <w:pPr>
        <w:pStyle w:val="ListParagraph"/>
        <w:numPr>
          <w:ilvl w:val="0"/>
          <w:numId w:val="2"/>
        </w:numPr>
        <w:spacing w:after="160" w:line="259" w:lineRule="auto"/>
        <w:ind w:left="0"/>
        <w:jc w:val="both"/>
        <w:rPr>
          <w:rFonts w:ascii="Tahoma" w:hAnsi="Tahoma" w:cs="Tahoma"/>
          <w:noProof/>
          <w:color w:val="auto"/>
          <w:sz w:val="22"/>
          <w:szCs w:val="22"/>
          <w:lang w:val="sr-Cyrl-BA"/>
        </w:rPr>
      </w:pPr>
      <w:r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Величина </w:t>
      </w:r>
      <w:r w:rsidR="00146297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просечног 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издвајања у текућу буџетску резерву износи </w:t>
      </w:r>
      <w:r w:rsidR="00402257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0,74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% у односу на </w:t>
      </w:r>
      <w:r w:rsidR="00240868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укупне приходе и примања, док је ниво сталне буџетске резерве формиран на нивоу од </w:t>
      </w:r>
      <w:r w:rsidR="00012934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0,</w:t>
      </w:r>
      <w:r w:rsidR="00402257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>04</w:t>
      </w:r>
      <w:r w:rsidR="00240868" w:rsidRPr="00F44A38">
        <w:rPr>
          <w:rFonts w:ascii="Tahoma" w:hAnsi="Tahoma" w:cs="Tahoma"/>
          <w:noProof/>
          <w:color w:val="auto"/>
          <w:sz w:val="22"/>
          <w:szCs w:val="22"/>
          <w:lang w:val="sr-Cyrl-BA"/>
        </w:rPr>
        <w:t xml:space="preserve">%. </w:t>
      </w:r>
    </w:p>
    <w:p w14:paraId="24E2BE92" w14:textId="5EEC915D" w:rsidR="00093392" w:rsidRPr="00F44A38" w:rsidRDefault="001C5820" w:rsidP="008B0087">
      <w:pPr>
        <w:pStyle w:val="ListParagraph"/>
        <w:numPr>
          <w:ilvl w:val="0"/>
          <w:numId w:val="2"/>
        </w:numPr>
        <w:spacing w:after="160" w:line="259" w:lineRule="auto"/>
        <w:ind w:left="0"/>
        <w:jc w:val="both"/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Однос планиране величине прихода и примања буџета и његовог остварења </w:t>
      </w:r>
      <w:r w:rsidR="00755C1C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премашује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8F28B5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просечн</w:t>
      </w:r>
      <w:r w:rsidR="003A2BD3">
        <w:rPr>
          <w:rFonts w:ascii="Tahoma" w:hAnsi="Tahoma" w:cs="Tahoma"/>
          <w:noProof/>
          <w:color w:val="auto"/>
          <w:sz w:val="22"/>
          <w:szCs w:val="22"/>
          <w:lang w:val="sr-Cyrl-RS"/>
        </w:rPr>
        <w:t>и</w:t>
      </w:r>
      <w:r w:rsidR="008F28B5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релативн</w:t>
      </w:r>
      <w:r w:rsidR="003A2BD3">
        <w:rPr>
          <w:rFonts w:ascii="Tahoma" w:hAnsi="Tahoma" w:cs="Tahoma"/>
          <w:noProof/>
          <w:color w:val="auto"/>
          <w:sz w:val="22"/>
          <w:szCs w:val="22"/>
          <w:lang w:val="sr-Cyrl-RS"/>
        </w:rPr>
        <w:t>и</w:t>
      </w:r>
      <w:r w:rsidR="008F28B5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показатељ региона</w:t>
      </w:r>
      <w:r w:rsidR="005F26C3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и износи </w:t>
      </w:r>
      <w:r w:rsidR="00930409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92,31</w:t>
      </w:r>
      <w:r w:rsidR="008F28B5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%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, док је извршење расходне стране буџета </w:t>
      </w:r>
      <w:r w:rsidR="00B805C7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на нивоу од </w:t>
      </w:r>
      <w:r w:rsidR="00930409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91,25</w:t>
      </w:r>
      <w:r w:rsidR="00B805C7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%.</w:t>
      </w:r>
      <w:r w:rsidR="008F28B5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 </w:t>
      </w:r>
      <w:r w:rsidR="008F28B5" w:rsidRPr="00F44A3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Вредност ненаменског трансфера </w:t>
      </w:r>
      <w:r w:rsidR="00FB506C" w:rsidRPr="00F44A3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у годишњем износу од </w:t>
      </w:r>
      <w:r w:rsidR="00930409" w:rsidRPr="00F44A3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293</w:t>
      </w:r>
      <w:r w:rsidR="00FB506C" w:rsidRPr="00F44A3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милиона динара </w:t>
      </w:r>
      <w:r w:rsidR="002E3798" w:rsidRPr="00F44A3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представља </w:t>
      </w:r>
      <w:r w:rsidR="00930409" w:rsidRPr="00F44A3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20,6</w:t>
      </w:r>
      <w:r w:rsidR="005673FE" w:rsidRPr="00F44A3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%</w:t>
      </w:r>
      <w:r w:rsidR="002E3798" w:rsidRPr="00F44A3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укупних прихода и примања општине, </w:t>
      </w:r>
      <w:r w:rsidR="005673FE" w:rsidRPr="00F44A3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са трендом </w:t>
      </w:r>
      <w:r w:rsidR="001947F7" w:rsidRPr="00F44A3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благог </w:t>
      </w:r>
      <w:r w:rsidR="005673FE" w:rsidRPr="00F44A3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смањења</w:t>
      </w:r>
      <w:r w:rsidR="002E3798" w:rsidRPr="00F44A3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зависност</w:t>
      </w:r>
      <w:r w:rsidR="005673FE" w:rsidRPr="00F44A3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и општине</w:t>
      </w:r>
      <w:r w:rsidR="002E3798" w:rsidRPr="00F44A3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 од ове категорије трансфера</w:t>
      </w:r>
      <w:r w:rsidR="005673FE" w:rsidRPr="00F44A3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>, односно прихода</w:t>
      </w:r>
      <w:r w:rsidR="002E3798" w:rsidRPr="00F44A38">
        <w:rPr>
          <w:rFonts w:ascii="Tahoma" w:eastAsia="Times New Roman" w:hAnsi="Tahoma" w:cs="Tahoma"/>
          <w:noProof/>
          <w:color w:val="auto"/>
          <w:sz w:val="22"/>
          <w:szCs w:val="22"/>
          <w:lang w:val="sr-Cyrl-RS"/>
        </w:rPr>
        <w:t xml:space="preserve">. </w:t>
      </w:r>
    </w:p>
    <w:p w14:paraId="018A2A1C" w14:textId="79148C62" w:rsidR="00CF7894" w:rsidRPr="00F44A38" w:rsidRDefault="008D71A4" w:rsidP="00FD5616">
      <w:pPr>
        <w:pStyle w:val="ListParagraph"/>
        <w:numPr>
          <w:ilvl w:val="0"/>
          <w:numId w:val="2"/>
        </w:numPr>
        <w:spacing w:after="160" w:line="259" w:lineRule="auto"/>
        <w:ind w:left="0"/>
        <w:jc w:val="both"/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Величина планираних капиталних инвестиција у односу на укупан обим планираних расхода и издатака буџета </w:t>
      </w:r>
      <w:r w:rsidR="006E3039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показује</w:t>
      </w:r>
      <w:r w:rsidR="00E20C26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B81F0B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благо узлазни</w:t>
      </w:r>
      <w:r w:rsidR="006E3039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тренд у посматраном периоду</w:t>
      </w:r>
      <w:r w:rsidR="00680359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мада</w:t>
      </w:r>
      <w:r w:rsidR="003967BA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680359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оп</w:t>
      </w:r>
      <w:r w:rsidR="009505A1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штина </w:t>
      </w:r>
      <w:r w:rsidR="00B12E9E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Смедеревска Паланка</w:t>
      </w:r>
      <w:r w:rsidR="003967BA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B12E9E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највећи део </w:t>
      </w:r>
      <w:r w:rsidR="003967BA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прихода и примања </w:t>
      </w:r>
      <w:r w:rsidR="009826A6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употребљава </w:t>
      </w:r>
      <w:r w:rsidR="003967BA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за финансирање </w:t>
      </w:r>
      <w:r w:rsidR="009826A6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текућих расхода, те </w:t>
      </w:r>
      <w:r w:rsidR="00CF2115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су издвајања за капитална улагања заостају </w:t>
      </w:r>
      <w:r w:rsidR="00AC2E16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у односу на просек региона (класа 5).</w:t>
      </w:r>
      <w:r w:rsidR="003967BA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6E3039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Однос планираног и реализованог нивоа капиталних инвестиција се креће од </w:t>
      </w:r>
      <w:r w:rsidR="00AC2E16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73</w:t>
      </w:r>
      <w:r w:rsidR="006E3039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% до </w:t>
      </w:r>
      <w:r w:rsidR="00AC2E16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91</w:t>
      </w:r>
      <w:r w:rsidR="006E3039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%</w:t>
      </w:r>
      <w:r w:rsidR="00F42500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. </w:t>
      </w:r>
      <w:r w:rsidR="006E3039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В</w:t>
      </w:r>
      <w:r w:rsidR="005B2D74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редност директних могућности буџета </w:t>
      </w:r>
      <w:r w:rsidR="009505A1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општине</w:t>
      </w:r>
      <w:r w:rsidR="005B2D74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104064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за финансирање већих (капиталних) инвестиција </w:t>
      </w:r>
      <w:r w:rsidR="005B2D74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са јачањем финансијског капацитета износи </w:t>
      </w:r>
      <w:r w:rsidR="000340EB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95,9</w:t>
      </w:r>
      <w:r w:rsidR="00816959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милиона</w:t>
      </w:r>
      <w:r w:rsidR="005B2D74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динара по сваком годишњем буџету у периоду реализације новог плана развоја </w:t>
      </w:r>
      <w:r w:rsidR="00A2111A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општине</w:t>
      </w:r>
      <w:r w:rsidR="005B2D74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. Уз повећање институционалног и кадровског капацитета ниво могућности локалног буџета </w:t>
      </w:r>
      <w:r w:rsidR="00E858E5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се повећава на</w:t>
      </w:r>
      <w:r w:rsidR="00B14E3D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чак</w:t>
      </w:r>
      <w:r w:rsidR="00E858E5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0340EB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527,6</w:t>
      </w:r>
      <w:r w:rsidR="00816959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милиона</w:t>
      </w:r>
      <w:r w:rsidR="00E858E5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динара годишње, екпслоатацијом свих расположивих могућности конкурисања и аплицирања код </w:t>
      </w:r>
      <w:r w:rsidR="00520BBF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будућих </w:t>
      </w:r>
      <w:r w:rsidR="00E858E5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финансијера/донатора</w:t>
      </w:r>
      <w:r w:rsidR="00816959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. </w:t>
      </w:r>
      <w:r w:rsidR="00775477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Могућност задуживања општине код пословних банака износи </w:t>
      </w:r>
      <w:r w:rsidR="000340EB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706,3</w:t>
      </w:r>
      <w:r w:rsidR="00775477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милиона динара. </w:t>
      </w:r>
    </w:p>
    <w:p w14:paraId="10FA9418" w14:textId="57950D6A" w:rsidR="00DF23D7" w:rsidRPr="00F44A38" w:rsidRDefault="00DF23D7" w:rsidP="008B0087">
      <w:pPr>
        <w:pStyle w:val="ListParagraph"/>
        <w:numPr>
          <w:ilvl w:val="0"/>
          <w:numId w:val="2"/>
        </w:numPr>
        <w:spacing w:after="160" w:line="259" w:lineRule="auto"/>
        <w:ind w:left="0"/>
        <w:jc w:val="both"/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Постављање и функционисање система финансијског управљања и контроле у општини није реализовано</w:t>
      </w:r>
      <w:r w:rsidR="00B1032D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у потпуности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, те нису смањени ризици који могу настати и угрозити предвиђене циљеве у вези са извршењем буџета и планираних активности, задатака и програма</w:t>
      </w:r>
      <w:r w:rsidR="004B5817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, односно будућег плана развоја. </w:t>
      </w:r>
      <w:r w:rsidR="00AC001F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FA6EA8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</w:p>
    <w:p w14:paraId="60AFA274" w14:textId="2286912F" w:rsidR="00841CEC" w:rsidRPr="00F44A38" w:rsidRDefault="00DF23D7" w:rsidP="008B0087">
      <w:pPr>
        <w:pStyle w:val="ListParagraph"/>
        <w:numPr>
          <w:ilvl w:val="0"/>
          <w:numId w:val="2"/>
        </w:numPr>
        <w:spacing w:after="160" w:line="259" w:lineRule="auto"/>
        <w:ind w:left="0"/>
        <w:jc w:val="both"/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Општина </w:t>
      </w:r>
      <w:r w:rsidR="00F44A38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Смедеревска Паланка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је успоставио систем интерне </w:t>
      </w:r>
      <w:r w:rsidR="00CD31C1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ревизије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у складу са релевантним прописима којима се уређује ова област функционисања јавноправних ентитета.   </w:t>
      </w:r>
    </w:p>
    <w:p w14:paraId="520176F0" w14:textId="2791FE8D" w:rsidR="00015858" w:rsidRPr="00F44A38" w:rsidRDefault="00015858" w:rsidP="008B0087">
      <w:pPr>
        <w:pStyle w:val="ListParagraph"/>
        <w:numPr>
          <w:ilvl w:val="0"/>
          <w:numId w:val="2"/>
        </w:numPr>
        <w:spacing w:after="160" w:line="259" w:lineRule="auto"/>
        <w:ind w:left="0"/>
        <w:jc w:val="both"/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Државна ревизорска институција је приликом ревидирања консолидованог завршног рачуна буџета </w:t>
      </w:r>
      <w:r w:rsidR="003A0E35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и правилности пословања општине </w:t>
      </w:r>
      <w:r w:rsidR="00074574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Смедеревска Паланка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издала је мишљење за резервом</w:t>
      </w:r>
      <w:r w:rsidR="00074574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, осим у вези исказаних позиција Биланса стања. </w:t>
      </w:r>
      <w:r w:rsidR="00AC001F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854AEC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</w:p>
    <w:p w14:paraId="23EA7004" w14:textId="77777777" w:rsidR="003A0E35" w:rsidRPr="00F44A38" w:rsidRDefault="003A0E35" w:rsidP="008B0087">
      <w:pPr>
        <w:spacing w:after="160" w:line="259" w:lineRule="auto"/>
        <w:jc w:val="both"/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</w:p>
    <w:p w14:paraId="071BE90C" w14:textId="77777777" w:rsidR="00F44A38" w:rsidRDefault="00F44A38" w:rsidP="008B0087">
      <w:pPr>
        <w:spacing w:after="160" w:line="259" w:lineRule="auto"/>
        <w:jc w:val="both"/>
        <w:rPr>
          <w:rFonts w:ascii="Tahoma" w:hAnsi="Tahoma" w:cs="Tahoma"/>
          <w:noProof/>
          <w:color w:val="FF0000"/>
          <w:sz w:val="22"/>
          <w:szCs w:val="22"/>
          <w:lang w:val="sr-Cyrl-RS"/>
        </w:rPr>
      </w:pPr>
    </w:p>
    <w:p w14:paraId="1EA876ED" w14:textId="77777777" w:rsidR="00F44A38" w:rsidRPr="006D1DB0" w:rsidRDefault="00F44A38" w:rsidP="008B0087">
      <w:pPr>
        <w:spacing w:after="160" w:line="259" w:lineRule="auto"/>
        <w:jc w:val="both"/>
        <w:rPr>
          <w:rFonts w:ascii="Tahoma" w:hAnsi="Tahoma" w:cs="Tahoma"/>
          <w:noProof/>
          <w:color w:val="FF0000"/>
          <w:sz w:val="22"/>
          <w:szCs w:val="22"/>
          <w:lang w:val="sr-Cyrl-RS"/>
        </w:rPr>
      </w:pPr>
    </w:p>
    <w:p w14:paraId="36C83653" w14:textId="5D32F727" w:rsidR="00495694" w:rsidRPr="00BB2C87" w:rsidRDefault="00495694" w:rsidP="008B0087">
      <w:pPr>
        <w:pStyle w:val="Heading3"/>
        <w:spacing w:before="0" w:after="160" w:line="259" w:lineRule="auto"/>
        <w:ind w:left="0"/>
        <w:jc w:val="both"/>
        <w:rPr>
          <w:rFonts w:ascii="Tahoma" w:hAnsi="Tahoma" w:cs="Tahoma"/>
          <w:b/>
          <w:bCs/>
          <w:noProof/>
          <w:color w:val="2E74B5" w:themeColor="accent1" w:themeShade="BF"/>
          <w:lang w:val="sr-Cyrl-RS"/>
        </w:rPr>
      </w:pPr>
      <w:r w:rsidRPr="00BB2C87">
        <w:rPr>
          <w:rFonts w:ascii="Tahoma" w:hAnsi="Tahoma" w:cs="Tahoma"/>
          <w:b/>
          <w:bCs/>
          <w:noProof/>
          <w:color w:val="2E74B5" w:themeColor="accent1" w:themeShade="BF"/>
          <w:lang w:val="sr-Cyrl-RS"/>
        </w:rPr>
        <w:lastRenderedPageBreak/>
        <w:t>11.2. Препоруке</w:t>
      </w:r>
    </w:p>
    <w:p w14:paraId="07406D3C" w14:textId="77777777" w:rsidR="00495694" w:rsidRPr="00F77583" w:rsidRDefault="00495694" w:rsidP="008B0087">
      <w:pPr>
        <w:pStyle w:val="BodyText"/>
        <w:spacing w:after="160" w:line="259" w:lineRule="auto"/>
        <w:jc w:val="both"/>
        <w:rPr>
          <w:color w:val="002060"/>
          <w:lang w:val="sr-Cyrl-RS"/>
        </w:rPr>
      </w:pPr>
    </w:p>
    <w:p w14:paraId="08E6BD48" w14:textId="7CFDF05A" w:rsidR="003064D7" w:rsidRPr="00F44A38" w:rsidRDefault="003064D7" w:rsidP="003E3D31">
      <w:pPr>
        <w:pStyle w:val="ListParagraph"/>
        <w:numPr>
          <w:ilvl w:val="0"/>
          <w:numId w:val="2"/>
        </w:numPr>
        <w:spacing w:after="160" w:line="259" w:lineRule="auto"/>
        <w:ind w:left="0"/>
        <w:jc w:val="both"/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F44A38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Буџетски процес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- Препоручује се </w:t>
      </w:r>
      <w:r w:rsidR="00CE0E6F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адекватно представљање </w:t>
      </w:r>
      <w:r w:rsidR="006546A4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програмских информација кроз образложење буџета општине</w:t>
      </w:r>
      <w:r w:rsidR="00612919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,</w:t>
      </w:r>
      <w:r w:rsidR="006546A4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уз </w:t>
      </w:r>
      <w:r w:rsidR="00B72C4A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повећање броја програма </w:t>
      </w:r>
      <w:r w:rsidR="00370BEB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у којима ће бити заступљени уродњени циљеви и индикатори (до сада само у програму 8 и 9).</w:t>
      </w:r>
      <w:r w:rsidR="006546A4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Такође, препоручује се </w:t>
      </w:r>
      <w:r w:rsidR="001E7DBE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објављивање </w:t>
      </w:r>
      <w:r w:rsidR="00F77583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годишњих планова</w:t>
      </w:r>
      <w:r w:rsidR="00E76A18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за</w:t>
      </w:r>
      <w:r w:rsidR="001E7DBE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6546A4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увођење родно одговорних циљева и индикатора у програмске информације (као и њихово праћење</w:t>
      </w:r>
      <w:r w:rsidR="00E76A18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и извештавање у учинку кроз одлуку о завршном рачуну</w:t>
      </w:r>
      <w:r w:rsidR="006546A4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), </w:t>
      </w:r>
      <w:r w:rsidR="00E76A18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као и </w:t>
      </w:r>
      <w:r w:rsidR="009C0EFC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објављивање докумената </w:t>
      </w:r>
      <w:r w:rsidR="0035124B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у вези</w:t>
      </w:r>
      <w:r w:rsidR="009C0EFC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спроведен</w:t>
      </w:r>
      <w:r w:rsidR="00612919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их</w:t>
      </w:r>
      <w:r w:rsidR="009C0EFC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јавн</w:t>
      </w:r>
      <w:r w:rsidR="00612919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их</w:t>
      </w:r>
      <w:r w:rsidR="009C0EFC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расправ</w:t>
      </w:r>
      <w:r w:rsidR="00612919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а</w:t>
      </w:r>
      <w:r w:rsidR="0035124B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о нацрту буџета општине</w:t>
      </w:r>
      <w:r w:rsidR="00CF7D06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. </w:t>
      </w:r>
    </w:p>
    <w:p w14:paraId="5CEBA170" w14:textId="2BB49C54" w:rsidR="00495694" w:rsidRPr="00F44A38" w:rsidRDefault="003064D7" w:rsidP="00104064">
      <w:pPr>
        <w:pStyle w:val="ListParagraph"/>
        <w:numPr>
          <w:ilvl w:val="0"/>
          <w:numId w:val="2"/>
        </w:numPr>
        <w:spacing w:after="160" w:line="259" w:lineRule="auto"/>
        <w:ind w:left="0"/>
        <w:jc w:val="both"/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F44A38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Приходи и примања буџета</w:t>
      </w:r>
      <w:r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- </w:t>
      </w:r>
      <w:r w:rsidR="00C445B0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У будућем периоду потребно је нагласак ставити на </w:t>
      </w:r>
      <w:r w:rsidR="00866F9A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интензивирањ</w:t>
      </w:r>
      <w:r w:rsidR="00280BF6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е</w:t>
      </w:r>
      <w:r w:rsidR="00866F9A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наплате изворних јавних прихода општине (чију администрирање и наплату врши организациона јединица Општинске управе), односно </w:t>
      </w:r>
      <w:r w:rsidR="00C445B0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других</w:t>
      </w:r>
      <w:r w:rsidR="00866F9A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наменских трансфера и</w:t>
      </w:r>
      <w:r w:rsidR="00C445B0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донација имајући у виду </w:t>
      </w:r>
      <w:r w:rsidR="00FF144F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могуће</w:t>
      </w:r>
      <w:r w:rsidR="00E40571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C445B0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капацитете за финансирање сопственог учешћа </w:t>
      </w:r>
      <w:r w:rsidR="008501C5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општине</w:t>
      </w:r>
      <w:r w:rsidR="00104064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866F9A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у поступку реализације </w:t>
      </w:r>
      <w:r w:rsidR="00EC5C8A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будућих</w:t>
      </w:r>
      <w:r w:rsidR="00104064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866F9A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капиталних </w:t>
      </w:r>
      <w:r w:rsidR="00104064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пројек</w:t>
      </w:r>
      <w:r w:rsidR="00EC5C8A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а</w:t>
      </w:r>
      <w:r w:rsidR="00104064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т</w:t>
      </w:r>
      <w:r w:rsidR="00EC5C8A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а</w:t>
      </w:r>
      <w:r w:rsidR="00E40571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(финансијски и кадровски капацитети). </w:t>
      </w:r>
    </w:p>
    <w:p w14:paraId="74837C8D" w14:textId="19BAA8E9" w:rsidR="00DC1FB1" w:rsidRPr="00F44A38" w:rsidRDefault="00D4325B" w:rsidP="00F21144">
      <w:pPr>
        <w:pStyle w:val="NormalWeb"/>
        <w:numPr>
          <w:ilvl w:val="0"/>
          <w:numId w:val="2"/>
        </w:numPr>
        <w:spacing w:before="0" w:beforeAutospacing="0" w:after="160" w:line="259" w:lineRule="auto"/>
        <w:ind w:left="0"/>
        <w:jc w:val="both"/>
        <w:rPr>
          <w:rStyle w:val="Heading1Char"/>
          <w:rFonts w:ascii="Tahoma" w:hAnsi="Tahoma" w:cs="Tahoma"/>
          <w:noProof/>
          <w:color w:val="auto"/>
          <w:sz w:val="24"/>
          <w:szCs w:val="24"/>
          <w:lang w:val="sr-Cyrl-RS"/>
        </w:rPr>
      </w:pPr>
      <w:r w:rsidRPr="00F44A38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Расходи и издаци </w:t>
      </w:r>
      <w:r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– У наредним годинама буџетирања, препоручује се </w:t>
      </w:r>
      <w:r w:rsidR="00DC1FB1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преиспи</w:t>
      </w:r>
      <w:r w:rsidR="005B29E3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ти</w:t>
      </w:r>
      <w:r w:rsidR="00DC1FB1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вање фаворизације појединих буџетских програма у односу на стварне потребе локалне заједнице </w:t>
      </w:r>
      <w:r w:rsidR="00F21144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(сходно приоритетима буду</w:t>
      </w:r>
      <w:r w:rsidR="00F21144" w:rsidRPr="00F44A38">
        <w:rPr>
          <w:rStyle w:val="Heading1Char"/>
          <w:rFonts w:ascii="Tahoma" w:hAnsi="Tahoma" w:cs="Tahoma"/>
          <w:noProof/>
          <w:color w:val="auto"/>
          <w:sz w:val="24"/>
          <w:szCs w:val="24"/>
          <w:lang w:val="sr-Cyrl-RS"/>
        </w:rPr>
        <w:t xml:space="preserve">ћег плана развоја општине) </w:t>
      </w:r>
      <w:r w:rsidR="00DC1FB1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и потребно је тежити ка повећању</w:t>
      </w:r>
      <w:r w:rsidR="00775477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177F10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релативног учешћа </w:t>
      </w:r>
      <w:r w:rsidR="00775477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планира</w:t>
      </w:r>
      <w:r w:rsidR="00690F72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них</w:t>
      </w:r>
      <w:r w:rsidR="00775477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капиталних издатака</w:t>
      </w:r>
      <w:r w:rsidR="004B3E1E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, </w:t>
      </w:r>
      <w:r w:rsidR="00690F72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односно њиховог извршења/реализације</w:t>
      </w:r>
      <w:r w:rsidR="00CA38BC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. </w:t>
      </w:r>
    </w:p>
    <w:p w14:paraId="354D9582" w14:textId="488EF683" w:rsidR="00C9689B" w:rsidRPr="00F44A38" w:rsidRDefault="001A1083" w:rsidP="00C9689B">
      <w:pPr>
        <w:pStyle w:val="ListParagraph"/>
        <w:numPr>
          <w:ilvl w:val="0"/>
          <w:numId w:val="2"/>
        </w:numPr>
        <w:spacing w:after="160" w:line="259" w:lineRule="auto"/>
        <w:ind w:left="0"/>
        <w:jc w:val="both"/>
        <w:rPr>
          <w:rFonts w:ascii="Tahoma" w:hAnsi="Tahoma" w:cs="Tahoma"/>
          <w:noProof/>
          <w:color w:val="auto"/>
          <w:sz w:val="22"/>
          <w:szCs w:val="22"/>
          <w:lang w:val="sr-Cyrl-BA"/>
        </w:rPr>
      </w:pPr>
      <w:r w:rsidRPr="00F44A38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Буџетске класификације </w:t>
      </w:r>
      <w:r w:rsidR="008B5ABD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–</w:t>
      </w:r>
      <w:r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8B5ABD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Препоручује се </w:t>
      </w:r>
      <w:r w:rsidR="00866F9A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даљи развој транспарентног финансирања расхода и издатака буџета применом адекватних ознака </w:t>
      </w:r>
      <w:r w:rsidR="004E3ABC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по буџетским класификацијама</w:t>
      </w:r>
      <w:r w:rsidR="006D3312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сходно одред</w:t>
      </w:r>
      <w:r w:rsidR="00BC4F40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бама</w:t>
      </w:r>
      <w:r w:rsidR="00866F9A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Правилник</w:t>
      </w:r>
      <w:r w:rsidR="006D3312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а</w:t>
      </w:r>
      <w:r w:rsidR="00866F9A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о стандардном класификационом оквиру и контном плану за буџетски систе</w:t>
      </w:r>
      <w:r w:rsidR="00585CB5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м.</w:t>
      </w:r>
      <w:r w:rsidR="00866F9A" w:rsidRPr="00F44A38">
        <w:rPr>
          <w:rStyle w:val="Heading1Char"/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 </w:t>
      </w:r>
      <w:r w:rsidR="006E3889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Препоручује се </w:t>
      </w:r>
      <w:r w:rsidR="00976A56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избегавање </w:t>
      </w:r>
      <w:r w:rsidR="00AA1179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слободног </w:t>
      </w:r>
      <w:r w:rsidR="00976A56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преименовања </w:t>
      </w:r>
      <w:r w:rsidR="00D338D1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назива еконосмих класификаца</w:t>
      </w:r>
      <w:r w:rsidR="00AA1179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у посебном делу буџета општине</w:t>
      </w:r>
      <w:r w:rsidR="001746C2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, односно представљање рашчлањавања појединих </w:t>
      </w:r>
      <w:r w:rsidR="00991967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>позиција буџета општине (додела текућих субвенција конкретним јавним предузећима)</w:t>
      </w:r>
      <w:r w:rsidR="00AA1179" w:rsidRPr="00F44A38">
        <w:rPr>
          <w:rStyle w:val="Heading1Char"/>
          <w:rFonts w:ascii="Tahoma" w:hAnsi="Tahoma" w:cs="Tahoma"/>
          <w:noProof/>
          <w:color w:val="auto"/>
          <w:sz w:val="22"/>
          <w:szCs w:val="22"/>
          <w:lang w:val="sr-Cyrl-RS"/>
        </w:rPr>
        <w:t xml:space="preserve">. </w:t>
      </w:r>
    </w:p>
    <w:p w14:paraId="64F78DE7" w14:textId="2C41EE68" w:rsidR="00495694" w:rsidRPr="00F44A38" w:rsidRDefault="00B805C7" w:rsidP="00DE6213">
      <w:pPr>
        <w:pStyle w:val="ListParagraph"/>
        <w:numPr>
          <w:ilvl w:val="0"/>
          <w:numId w:val="2"/>
        </w:numPr>
        <w:spacing w:after="160" w:line="259" w:lineRule="auto"/>
        <w:ind w:left="0"/>
        <w:jc w:val="both"/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F44A38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Однос планираног буџета и његовог остварења, односно извршења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– Препоручује се свеобухватно и аналитичко </w:t>
      </w:r>
      <w:r w:rsidR="00EC5C8A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сагледавање и 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планирање </w:t>
      </w:r>
      <w:r w:rsidR="005B29E3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приходне и 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расходне стране буџета.</w:t>
      </w:r>
      <w:r w:rsidR="006E562B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Посебну пажњу треба посветити преузетим обавезама на крају године, те релативни показатељ извршења буџета не може да пређе 92-9</w:t>
      </w:r>
      <w:r w:rsidR="00D67515">
        <w:rPr>
          <w:rFonts w:ascii="Tahoma" w:hAnsi="Tahoma" w:cs="Tahoma"/>
          <w:noProof/>
          <w:color w:val="auto"/>
          <w:sz w:val="22"/>
          <w:szCs w:val="22"/>
          <w:lang w:val="sr-Cyrl-RS"/>
        </w:rPr>
        <w:t>4</w:t>
      </w:r>
      <w:r w:rsidR="006E562B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%. </w:t>
      </w:r>
    </w:p>
    <w:p w14:paraId="48EAC222" w14:textId="69F871DE" w:rsidR="004C51AD" w:rsidRPr="00F44A38" w:rsidRDefault="00E858E5" w:rsidP="004C51AD">
      <w:pPr>
        <w:pStyle w:val="ListParagraph"/>
        <w:numPr>
          <w:ilvl w:val="0"/>
          <w:numId w:val="2"/>
        </w:numPr>
        <w:spacing w:after="160" w:line="259" w:lineRule="auto"/>
        <w:ind w:left="0"/>
        <w:jc w:val="both"/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F44A38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 xml:space="preserve">Финансирање капиталних инвестиционих издатака – 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Препоручује се </w:t>
      </w:r>
      <w:r w:rsidR="004D2AC3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прецизније планирање капиталних инвестиционих пројеката и повећање нивоа </w:t>
      </w:r>
      <w:r w:rsidR="00AE3804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њиховог </w:t>
      </w:r>
      <w:r w:rsidR="00301A08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планирања и извршења</w:t>
      </w:r>
      <w:r w:rsidR="004D2AC3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. Затим, препоручује се 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подизање капацитета надлежних организационих јединица у управи ради аплицирања </w:t>
      </w:r>
      <w:r w:rsidR="004637B7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општине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на конкурсима виших </w:t>
      </w:r>
      <w:r w:rsidR="00983ECC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нивоа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власти и других донатора, односно спровођења поз</w:t>
      </w:r>
      <w:r w:rsidR="003225FC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и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тивно оцењених и подржаних пројеката.</w:t>
      </w:r>
      <w:r w:rsidR="00015858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4D2AC3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Поред тога</w:t>
      </w:r>
      <w:r w:rsidR="00015858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, предлаже се коришћење кредитних извора финансирања великих капиталних улагања</w:t>
      </w:r>
      <w:r w:rsidR="00D4325B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8B6417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предвиђених новим планом развоја, </w:t>
      </w:r>
      <w:r w:rsidR="00D4325B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уз опрезно бирање кредитора сходно тржишним условима и ризицима. </w:t>
      </w:r>
    </w:p>
    <w:p w14:paraId="76ED8FC4" w14:textId="77777777" w:rsidR="00223ED7" w:rsidRPr="00F44A38" w:rsidRDefault="00471884" w:rsidP="00223ED7">
      <w:pPr>
        <w:pStyle w:val="ListParagraph"/>
        <w:numPr>
          <w:ilvl w:val="0"/>
          <w:numId w:val="2"/>
        </w:numPr>
        <w:spacing w:after="160" w:line="259" w:lineRule="auto"/>
        <w:ind w:left="0"/>
        <w:jc w:val="both"/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F44A38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lastRenderedPageBreak/>
        <w:t>Резерве –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Препоручује се повећање планираног нивоа текућ</w:t>
      </w:r>
      <w:r w:rsidR="00903D74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е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буџетск</w:t>
      </w:r>
      <w:r w:rsidR="00903D74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е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резерв</w:t>
      </w:r>
      <w:r w:rsidR="00903D74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е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(макс. </w:t>
      </w:r>
      <w:r w:rsidR="00903D74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до 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4%), односно нивоа за сталну буџетску резерву (макс. </w:t>
      </w:r>
      <w:r w:rsidR="00903D74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до 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0,5%).</w:t>
      </w:r>
    </w:p>
    <w:p w14:paraId="5EBA1621" w14:textId="122CBAD8" w:rsidR="00223ED7" w:rsidRPr="00F44A38" w:rsidRDefault="00EB2624" w:rsidP="00223ED7">
      <w:pPr>
        <w:pStyle w:val="ListParagraph"/>
        <w:numPr>
          <w:ilvl w:val="0"/>
          <w:numId w:val="2"/>
        </w:numPr>
        <w:spacing w:after="160" w:line="259" w:lineRule="auto"/>
        <w:ind w:left="0"/>
        <w:jc w:val="both"/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F44A38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Финансијско управљање и контрола –</w:t>
      </w:r>
      <w:r w:rsidR="00597ACE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Препоручује се доношење </w:t>
      </w:r>
      <w:r w:rsidR="006A1BDB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обезбеђивање адекватног функционисања система ФУК у</w:t>
      </w:r>
      <w:r w:rsidR="00223ED7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6A1BDB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о</w:t>
      </w:r>
      <w:r w:rsidR="00223ED7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пштин</w:t>
      </w:r>
      <w:r w:rsidR="006A1BDB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и</w:t>
      </w:r>
      <w:r w:rsidR="00223ED7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30738B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Смедеревска Паланка</w:t>
      </w:r>
      <w:r w:rsidR="000E1F50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, те је</w:t>
      </w:r>
      <w:r w:rsidR="00223ED7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  <w:r w:rsidR="006A1BDB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потребно израдити</w:t>
      </w:r>
      <w:r w:rsidR="00223ED7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Годишњи извештај о систему финансијског управљања и контроле </w:t>
      </w:r>
      <w:r w:rsidR="006A1BDB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и</w:t>
      </w:r>
      <w:r w:rsidR="00223ED7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доста</w:t>
      </w:r>
      <w:r w:rsidR="006A1BDB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>вити</w:t>
      </w:r>
      <w:r w:rsidR="00545391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га</w:t>
      </w:r>
      <w:r w:rsidR="00223ED7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Централној јединици за хармонизацију при Министарству финансија Републике Србије</w:t>
      </w:r>
      <w:r w:rsidR="00D041C3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. </w:t>
      </w:r>
      <w:r w:rsidR="00223ED7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</w:p>
    <w:p w14:paraId="38518D7F" w14:textId="47EDB9DD" w:rsidR="009B2121" w:rsidRPr="00F44A38" w:rsidRDefault="004637B7" w:rsidP="004B4325">
      <w:pPr>
        <w:pStyle w:val="ListParagraph"/>
        <w:numPr>
          <w:ilvl w:val="0"/>
          <w:numId w:val="2"/>
        </w:numPr>
        <w:spacing w:after="160" w:line="259" w:lineRule="auto"/>
        <w:ind w:left="0"/>
        <w:jc w:val="both"/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</w:pPr>
      <w:r w:rsidRPr="00F44A38">
        <w:rPr>
          <w:rFonts w:ascii="Tahoma" w:hAnsi="Tahoma" w:cs="Tahoma"/>
          <w:b/>
          <w:bCs/>
          <w:noProof/>
          <w:color w:val="auto"/>
          <w:sz w:val="22"/>
          <w:szCs w:val="22"/>
          <w:lang w:val="sr-Cyrl-RS"/>
        </w:rPr>
        <w:t>Удружења грађана –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Препоручује се изградња партнерског односа са удружењима грађана у преализацији приоритетних циљева развоја дефинисаних новим планом развоја општине, те повећање средстава издвојених за потребе суфинансирања њихових програма и пројеката</w:t>
      </w:r>
      <w:r w:rsidR="00AC001F"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(ван области спорта).</w:t>
      </w:r>
      <w:r w:rsidR="009E4448">
        <w:rPr>
          <w:rFonts w:ascii="Tahoma" w:hAnsi="Tahoma" w:cs="Tahoma"/>
          <w:noProof/>
          <w:color w:val="auto"/>
          <w:sz w:val="22"/>
          <w:szCs w:val="22"/>
          <w:lang w:val="sr-Cyrl-RS"/>
        </w:rPr>
        <w:t>.</w:t>
      </w:r>
      <w:r w:rsidRPr="00F44A38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 </w:t>
      </w:r>
    </w:p>
    <w:sectPr w:rsidR="009B2121" w:rsidRPr="00F44A38" w:rsidSect="004B6227">
      <w:footerReference w:type="default" r:id="rId11"/>
      <w:pgSz w:w="12240" w:h="15840"/>
      <w:pgMar w:top="1440" w:right="1440" w:bottom="1440" w:left="1440" w:header="0" w:footer="0" w:gutter="0"/>
      <w:pgNumType w:start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37A0" w14:textId="77777777" w:rsidR="00423AD3" w:rsidRDefault="00423AD3">
      <w:r>
        <w:separator/>
      </w:r>
    </w:p>
  </w:endnote>
  <w:endnote w:type="continuationSeparator" w:id="0">
    <w:p w14:paraId="17775AC8" w14:textId="77777777" w:rsidR="00423AD3" w:rsidRDefault="0042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987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7ADB59" w14:textId="2477C4C4" w:rsidR="004B6227" w:rsidRDefault="004B62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56A4D" w14:textId="77777777" w:rsidR="0002659C" w:rsidRDefault="00026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D1C1" w14:textId="77777777" w:rsidR="00423AD3" w:rsidRDefault="00423AD3">
      <w:pPr>
        <w:rPr>
          <w:sz w:val="12"/>
        </w:rPr>
      </w:pPr>
      <w:r>
        <w:separator/>
      </w:r>
    </w:p>
  </w:footnote>
  <w:footnote w:type="continuationSeparator" w:id="0">
    <w:p w14:paraId="1F572B8A" w14:textId="77777777" w:rsidR="00423AD3" w:rsidRDefault="00423AD3">
      <w:pPr>
        <w:rPr>
          <w:sz w:val="12"/>
        </w:rPr>
      </w:pPr>
      <w:r>
        <w:continuationSeparator/>
      </w:r>
    </w:p>
  </w:footnote>
  <w:footnote w:id="1">
    <w:p w14:paraId="5839B0FC" w14:textId="4EE38B58" w:rsidR="00D85836" w:rsidRPr="00D85836" w:rsidRDefault="00D85836" w:rsidP="00D85836">
      <w:pPr>
        <w:pStyle w:val="FootnoteText"/>
        <w:jc w:val="both"/>
        <w:rPr>
          <w:rFonts w:ascii="Tahoma" w:hAnsi="Tahoma" w:cs="Tahoma"/>
          <w:sz w:val="18"/>
          <w:szCs w:val="18"/>
          <w:lang w:val="en-US"/>
        </w:rPr>
      </w:pPr>
      <w:r w:rsidRPr="00D85836">
        <w:rPr>
          <w:rStyle w:val="FootnoteReference"/>
          <w:rFonts w:ascii="Tahoma" w:hAnsi="Tahoma" w:cs="Tahoma"/>
          <w:sz w:val="18"/>
          <w:szCs w:val="18"/>
        </w:rPr>
        <w:footnoteRef/>
      </w:r>
      <w:r w:rsidRPr="00D85836">
        <w:rPr>
          <w:rFonts w:ascii="Tahoma" w:hAnsi="Tahoma" w:cs="Tahoma"/>
          <w:sz w:val="18"/>
          <w:szCs w:val="18"/>
        </w:rPr>
        <w:t xml:space="preserve"> </w:t>
      </w:r>
      <w:r w:rsidR="00EC7BA7" w:rsidRPr="00D85836">
        <w:rPr>
          <w:rFonts w:ascii="Tahoma" w:hAnsi="Tahoma" w:cs="Tahoma"/>
          <w:noProof/>
          <w:sz w:val="18"/>
          <w:szCs w:val="18"/>
          <w:lang w:val="sr-Cyrl-RS"/>
        </w:rPr>
        <w:t>„Сл. гласник РС“, бр. 54/</w:t>
      </w:r>
      <w:r w:rsidR="00EC7BA7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="00EC7BA7" w:rsidRPr="00D85836">
        <w:rPr>
          <w:rFonts w:ascii="Tahoma" w:hAnsi="Tahoma" w:cs="Tahoma"/>
          <w:noProof/>
          <w:sz w:val="18"/>
          <w:szCs w:val="18"/>
          <w:lang w:val="sr-Cyrl-RS"/>
        </w:rPr>
        <w:t>09, 73/</w:t>
      </w:r>
      <w:r w:rsidR="00EC7BA7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="00EC7BA7" w:rsidRPr="00D85836">
        <w:rPr>
          <w:rFonts w:ascii="Tahoma" w:hAnsi="Tahoma" w:cs="Tahoma"/>
          <w:noProof/>
          <w:sz w:val="18"/>
          <w:szCs w:val="18"/>
          <w:lang w:val="sr-Cyrl-RS"/>
        </w:rPr>
        <w:t>10, 101/</w:t>
      </w:r>
      <w:r w:rsidR="00EC7BA7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="00EC7BA7" w:rsidRPr="00D85836">
        <w:rPr>
          <w:rFonts w:ascii="Tahoma" w:hAnsi="Tahoma" w:cs="Tahoma"/>
          <w:noProof/>
          <w:sz w:val="18"/>
          <w:szCs w:val="18"/>
          <w:lang w:val="sr-Cyrl-RS"/>
        </w:rPr>
        <w:t>10, 93/</w:t>
      </w:r>
      <w:r w:rsidR="00EC7BA7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="00EC7BA7" w:rsidRPr="00D85836">
        <w:rPr>
          <w:rFonts w:ascii="Tahoma" w:hAnsi="Tahoma" w:cs="Tahoma"/>
          <w:noProof/>
          <w:sz w:val="18"/>
          <w:szCs w:val="18"/>
          <w:lang w:val="sr-Cyrl-RS"/>
        </w:rPr>
        <w:t>12, 62/</w:t>
      </w:r>
      <w:r w:rsidR="00EC7BA7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="00EC7BA7" w:rsidRPr="00D85836">
        <w:rPr>
          <w:rFonts w:ascii="Tahoma" w:hAnsi="Tahoma" w:cs="Tahoma"/>
          <w:noProof/>
          <w:sz w:val="18"/>
          <w:szCs w:val="18"/>
          <w:lang w:val="sr-Cyrl-RS"/>
        </w:rPr>
        <w:t>13 – испр., 108/</w:t>
      </w:r>
      <w:r w:rsidR="00EC7BA7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="00EC7BA7" w:rsidRPr="00D85836">
        <w:rPr>
          <w:rFonts w:ascii="Tahoma" w:hAnsi="Tahoma" w:cs="Tahoma"/>
          <w:noProof/>
          <w:sz w:val="18"/>
          <w:szCs w:val="18"/>
          <w:lang w:val="sr-Cyrl-RS"/>
        </w:rPr>
        <w:t>13, 142/</w:t>
      </w:r>
      <w:r w:rsidR="00EC7BA7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="00EC7BA7" w:rsidRPr="00D85836">
        <w:rPr>
          <w:rFonts w:ascii="Tahoma" w:hAnsi="Tahoma" w:cs="Tahoma"/>
          <w:noProof/>
          <w:sz w:val="18"/>
          <w:szCs w:val="18"/>
          <w:lang w:val="sr-Cyrl-RS"/>
        </w:rPr>
        <w:t>14, 68/</w:t>
      </w:r>
      <w:r w:rsidR="00EC7BA7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="00EC7BA7" w:rsidRPr="00D85836">
        <w:rPr>
          <w:rFonts w:ascii="Tahoma" w:hAnsi="Tahoma" w:cs="Tahoma"/>
          <w:noProof/>
          <w:sz w:val="18"/>
          <w:szCs w:val="18"/>
          <w:lang w:val="sr-Cyrl-RS"/>
        </w:rPr>
        <w:t>15 – др. закон, 103/</w:t>
      </w:r>
      <w:r w:rsidR="00EC7BA7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="00EC7BA7" w:rsidRPr="00D85836">
        <w:rPr>
          <w:rFonts w:ascii="Tahoma" w:hAnsi="Tahoma" w:cs="Tahoma"/>
          <w:noProof/>
          <w:sz w:val="18"/>
          <w:szCs w:val="18"/>
          <w:lang w:val="sr-Cyrl-RS"/>
        </w:rPr>
        <w:t>15, 99/</w:t>
      </w:r>
      <w:r w:rsidR="00EC7BA7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="00EC7BA7" w:rsidRPr="00D85836">
        <w:rPr>
          <w:rFonts w:ascii="Tahoma" w:hAnsi="Tahoma" w:cs="Tahoma"/>
          <w:noProof/>
          <w:sz w:val="18"/>
          <w:szCs w:val="18"/>
          <w:lang w:val="sr-Cyrl-RS"/>
        </w:rPr>
        <w:t>16, 113/</w:t>
      </w:r>
      <w:r w:rsidR="00EC7BA7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="00EC7BA7" w:rsidRPr="00D85836">
        <w:rPr>
          <w:rFonts w:ascii="Tahoma" w:hAnsi="Tahoma" w:cs="Tahoma"/>
          <w:noProof/>
          <w:sz w:val="18"/>
          <w:szCs w:val="18"/>
          <w:lang w:val="sr-Cyrl-RS"/>
        </w:rPr>
        <w:t>17, 95/</w:t>
      </w:r>
      <w:r w:rsidR="00EC7BA7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="00EC7BA7" w:rsidRPr="00D85836">
        <w:rPr>
          <w:rFonts w:ascii="Tahoma" w:hAnsi="Tahoma" w:cs="Tahoma"/>
          <w:noProof/>
          <w:sz w:val="18"/>
          <w:szCs w:val="18"/>
          <w:lang w:val="sr-Cyrl-RS"/>
        </w:rPr>
        <w:t>18, 31/</w:t>
      </w:r>
      <w:r w:rsidR="00EC7BA7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="00EC7BA7" w:rsidRPr="00D85836">
        <w:rPr>
          <w:rFonts w:ascii="Tahoma" w:hAnsi="Tahoma" w:cs="Tahoma"/>
          <w:noProof/>
          <w:sz w:val="18"/>
          <w:szCs w:val="18"/>
          <w:lang w:val="sr-Cyrl-RS"/>
        </w:rPr>
        <w:t>19, 72/</w:t>
      </w:r>
      <w:r w:rsidR="00EC7BA7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="00EC7BA7" w:rsidRPr="00D85836">
        <w:rPr>
          <w:rFonts w:ascii="Tahoma" w:hAnsi="Tahoma" w:cs="Tahoma"/>
          <w:noProof/>
          <w:sz w:val="18"/>
          <w:szCs w:val="18"/>
          <w:lang w:val="sr-Cyrl-RS"/>
        </w:rPr>
        <w:t>19, 149/</w:t>
      </w:r>
      <w:r w:rsidR="00EC7BA7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="00EC7BA7" w:rsidRPr="00D85836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="00EC7BA7">
        <w:rPr>
          <w:rFonts w:ascii="Tahoma" w:hAnsi="Tahoma" w:cs="Tahoma"/>
          <w:noProof/>
          <w:sz w:val="18"/>
          <w:szCs w:val="18"/>
          <w:lang w:val="sr-Cyrl-RS"/>
        </w:rPr>
        <w:t xml:space="preserve">, </w:t>
      </w:r>
      <w:r w:rsidR="00EC7BA7" w:rsidRPr="00D85836">
        <w:rPr>
          <w:rFonts w:ascii="Tahoma" w:hAnsi="Tahoma" w:cs="Tahoma"/>
          <w:noProof/>
          <w:sz w:val="18"/>
          <w:szCs w:val="18"/>
          <w:lang w:val="sr-Cyrl-RS"/>
        </w:rPr>
        <w:t>118/2021</w:t>
      </w:r>
      <w:r w:rsidR="00EC7BA7">
        <w:rPr>
          <w:rFonts w:ascii="Tahoma" w:hAnsi="Tahoma" w:cs="Tahoma"/>
          <w:noProof/>
          <w:sz w:val="18"/>
          <w:szCs w:val="18"/>
          <w:lang w:val="sr-Cyrl-RS"/>
        </w:rPr>
        <w:t>, 118/2021 – др. закон и 138/2022</w:t>
      </w:r>
      <w:r w:rsidR="00EC7BA7" w:rsidRPr="00D85836">
        <w:rPr>
          <w:rFonts w:ascii="Tahoma" w:hAnsi="Tahoma" w:cs="Tahoma"/>
          <w:noProof/>
          <w:sz w:val="18"/>
          <w:szCs w:val="18"/>
          <w:lang w:val="sr-Cyrl-RS"/>
        </w:rPr>
        <w:t>)</w:t>
      </w:r>
    </w:p>
  </w:footnote>
  <w:footnote w:id="2">
    <w:p w14:paraId="7355F9DD" w14:textId="708DFABC" w:rsidR="00483999" w:rsidRPr="00C0667F" w:rsidRDefault="00483999">
      <w:pPr>
        <w:pStyle w:val="FootnoteText"/>
        <w:rPr>
          <w:rFonts w:ascii="Tahoma" w:hAnsi="Tahoma" w:cs="Tahoma"/>
          <w:sz w:val="18"/>
          <w:szCs w:val="18"/>
          <w:lang w:val="sr-Cyrl-RS"/>
        </w:rPr>
      </w:pPr>
      <w:r w:rsidRPr="00C0667F">
        <w:rPr>
          <w:rStyle w:val="FootnoteReference"/>
          <w:rFonts w:ascii="Tahoma" w:hAnsi="Tahoma" w:cs="Tahoma"/>
          <w:sz w:val="18"/>
          <w:szCs w:val="18"/>
        </w:rPr>
        <w:footnoteRef/>
      </w:r>
      <w:r w:rsidRPr="00C0667F">
        <w:rPr>
          <w:rFonts w:ascii="Tahoma" w:hAnsi="Tahoma" w:cs="Tahoma"/>
          <w:sz w:val="18"/>
          <w:szCs w:val="18"/>
        </w:rPr>
        <w:t xml:space="preserve"> </w:t>
      </w:r>
      <w:r w:rsidR="00157630" w:rsidRPr="00C0667F">
        <w:rPr>
          <w:rFonts w:ascii="Tahoma" w:hAnsi="Tahoma" w:cs="Tahoma"/>
          <w:sz w:val="18"/>
          <w:szCs w:val="18"/>
          <w:lang w:val="sr-Cyrl-RS"/>
        </w:rPr>
        <w:t>„Сл. гласник РС“, бр. 47/2018</w:t>
      </w:r>
    </w:p>
  </w:footnote>
  <w:footnote w:id="3">
    <w:p w14:paraId="63D1C259" w14:textId="77777777" w:rsidR="001215B5" w:rsidRPr="00C0667F" w:rsidRDefault="001215B5" w:rsidP="001215B5">
      <w:pPr>
        <w:pStyle w:val="FootnoteText"/>
        <w:rPr>
          <w:rFonts w:ascii="Tahoma" w:hAnsi="Tahoma" w:cs="Tahoma"/>
          <w:sz w:val="18"/>
          <w:szCs w:val="18"/>
          <w:lang w:val="sr-Cyrl-RS"/>
        </w:rPr>
      </w:pPr>
      <w:r w:rsidRPr="00C0667F">
        <w:rPr>
          <w:rStyle w:val="FootnoteReference"/>
          <w:rFonts w:ascii="Tahoma" w:hAnsi="Tahoma" w:cs="Tahoma"/>
          <w:sz w:val="18"/>
          <w:szCs w:val="18"/>
        </w:rPr>
        <w:footnoteRef/>
      </w:r>
      <w:r w:rsidRPr="00C0667F">
        <w:rPr>
          <w:rFonts w:ascii="Tahoma" w:hAnsi="Tahoma" w:cs="Tahoma"/>
          <w:sz w:val="18"/>
          <w:szCs w:val="18"/>
        </w:rPr>
        <w:t xml:space="preserve"> </w:t>
      </w:r>
      <w:r w:rsidRPr="00C0667F">
        <w:rPr>
          <w:rFonts w:ascii="Tahoma" w:hAnsi="Tahoma" w:cs="Tahoma"/>
          <w:sz w:val="18"/>
          <w:szCs w:val="18"/>
          <w:lang w:val="sr-Cyrl-RS"/>
        </w:rPr>
        <w:t>„</w:t>
      </w:r>
      <w:r w:rsidRPr="00C0667F">
        <w:rPr>
          <w:rFonts w:ascii="Tahoma" w:hAnsi="Tahoma" w:cs="Tahoma"/>
          <w:noProof/>
          <w:sz w:val="18"/>
          <w:szCs w:val="18"/>
          <w:lang w:val="sr-Cyrl-RS"/>
        </w:rPr>
        <w:t xml:space="preserve">Сл. гласник РС“, бр. </w:t>
      </w:r>
      <w:r w:rsidRPr="00C0667F">
        <w:rPr>
          <w:rFonts w:ascii="Tahoma" w:hAnsi="Tahoma" w:cs="Tahoma"/>
          <w:sz w:val="18"/>
          <w:szCs w:val="18"/>
          <w:lang w:val="sr-Cyrl-RS"/>
        </w:rPr>
        <w:t>129/2007, 83/2014 - др. закон, 101/2016 - др. закон, 47/2018 и 111/2021 - др. закон</w:t>
      </w:r>
    </w:p>
  </w:footnote>
  <w:footnote w:id="4">
    <w:p w14:paraId="655C09C6" w14:textId="06684B04" w:rsidR="00A5283F" w:rsidRPr="00157630" w:rsidRDefault="00A5283F" w:rsidP="00AD7ACE">
      <w:pPr>
        <w:pStyle w:val="FootnoteText"/>
        <w:jc w:val="both"/>
        <w:rPr>
          <w:rFonts w:ascii="Tahoma" w:hAnsi="Tahoma" w:cs="Tahoma"/>
          <w:noProof/>
          <w:sz w:val="18"/>
          <w:szCs w:val="18"/>
          <w:lang w:val="sr-Cyrl-RS"/>
        </w:rPr>
      </w:pPr>
      <w:r w:rsidRPr="00157630">
        <w:rPr>
          <w:rStyle w:val="FootnoteCharacters"/>
          <w:rFonts w:ascii="Tahoma" w:hAnsi="Tahoma" w:cs="Tahoma"/>
          <w:noProof/>
          <w:sz w:val="18"/>
          <w:szCs w:val="18"/>
          <w:lang w:val="sr-Cyrl-RS"/>
        </w:rPr>
        <w:footnoteRef/>
      </w:r>
      <w:r w:rsidR="00AD7ACE">
        <w:rPr>
          <w:rFonts w:ascii="Tahoma" w:hAnsi="Tahoma" w:cs="Tahoma"/>
          <w:noProof/>
          <w:sz w:val="18"/>
          <w:szCs w:val="18"/>
          <w:lang w:val="sr-Cyrl-RS"/>
        </w:rPr>
        <w:t xml:space="preserve"> </w:t>
      </w:r>
      <w:r w:rsidRPr="00157630">
        <w:rPr>
          <w:rFonts w:ascii="Tahoma" w:hAnsi="Tahoma" w:cs="Tahoma"/>
          <w:noProof/>
          <w:sz w:val="18"/>
          <w:szCs w:val="18"/>
          <w:lang w:val="sr-Cyrl-RS"/>
        </w:rPr>
        <w:t>„Сл. гласник РС“, бр. 104/</w:t>
      </w:r>
      <w:r w:rsidR="008B1DD4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Pr="00157630">
        <w:rPr>
          <w:rFonts w:ascii="Tahoma" w:hAnsi="Tahoma" w:cs="Tahoma"/>
          <w:noProof/>
          <w:sz w:val="18"/>
          <w:szCs w:val="18"/>
          <w:lang w:val="sr-Cyrl-RS"/>
        </w:rPr>
        <w:t>09</w:t>
      </w:r>
    </w:p>
  </w:footnote>
  <w:footnote w:id="5">
    <w:p w14:paraId="16EFF0D6" w14:textId="6649A737" w:rsidR="00A5283F" w:rsidRPr="00C542C5" w:rsidRDefault="00A5283F" w:rsidP="00AD7ACE">
      <w:pPr>
        <w:pStyle w:val="FootnoteText"/>
        <w:jc w:val="both"/>
        <w:rPr>
          <w:rFonts w:ascii="Tahoma" w:hAnsi="Tahoma" w:cs="Tahoma"/>
          <w:noProof/>
          <w:sz w:val="18"/>
          <w:szCs w:val="18"/>
          <w:lang w:val="sr-Cyrl-RS"/>
        </w:rPr>
      </w:pPr>
      <w:r w:rsidRPr="00C542C5">
        <w:rPr>
          <w:rStyle w:val="FootnoteCharacters"/>
          <w:rFonts w:ascii="Tahoma" w:hAnsi="Tahoma" w:cs="Tahoma"/>
          <w:noProof/>
          <w:sz w:val="18"/>
          <w:szCs w:val="18"/>
          <w:lang w:val="sr-Cyrl-RS"/>
        </w:rPr>
        <w:footnoteRef/>
      </w:r>
      <w:r w:rsidR="00AD7ACE">
        <w:rPr>
          <w:rFonts w:ascii="Tahoma" w:hAnsi="Tahoma" w:cs="Tahoma"/>
          <w:noProof/>
          <w:sz w:val="18"/>
          <w:szCs w:val="18"/>
          <w:lang w:val="sr-Cyrl-RS"/>
        </w:rPr>
        <w:t xml:space="preserve"> </w:t>
      </w:r>
      <w:r w:rsidRPr="00C542C5">
        <w:rPr>
          <w:rFonts w:ascii="Tahoma" w:hAnsi="Tahoma" w:cs="Tahoma"/>
          <w:noProof/>
          <w:sz w:val="18"/>
          <w:szCs w:val="18"/>
          <w:lang w:val="sr-Cyrl-RS"/>
        </w:rPr>
        <w:t>„Сл. гласник РС“, бр. 4/</w:t>
      </w:r>
      <w:r w:rsidR="008B1DD4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Pr="00C542C5">
        <w:rPr>
          <w:rFonts w:ascii="Tahoma" w:hAnsi="Tahoma" w:cs="Tahoma"/>
          <w:noProof/>
          <w:sz w:val="18"/>
          <w:szCs w:val="18"/>
          <w:lang w:val="sr-Cyrl-RS"/>
        </w:rPr>
        <w:t>16</w:t>
      </w:r>
    </w:p>
  </w:footnote>
  <w:footnote w:id="6">
    <w:p w14:paraId="22574280" w14:textId="3533EE1B" w:rsidR="00AF0875" w:rsidRPr="00AF0875" w:rsidRDefault="00AF0875" w:rsidP="00AD7ACE">
      <w:pPr>
        <w:pStyle w:val="FootnoteText"/>
        <w:jc w:val="both"/>
        <w:rPr>
          <w:rFonts w:ascii="Tahoma" w:hAnsi="Tahoma" w:cs="Tahoma"/>
          <w:sz w:val="18"/>
          <w:szCs w:val="18"/>
          <w:lang w:val="sr-Cyrl-RS"/>
        </w:rPr>
      </w:pPr>
      <w:r w:rsidRPr="00AD7ACE">
        <w:rPr>
          <w:rStyle w:val="FootnoteReference"/>
          <w:rFonts w:ascii="Tahoma" w:hAnsi="Tahoma" w:cs="Tahoma"/>
          <w:sz w:val="18"/>
          <w:szCs w:val="18"/>
        </w:rPr>
        <w:footnoteRef/>
      </w:r>
      <w:r w:rsidRPr="00AF0875">
        <w:rPr>
          <w:rFonts w:ascii="Tahoma" w:hAnsi="Tahoma" w:cs="Tahoma"/>
          <w:sz w:val="18"/>
          <w:szCs w:val="18"/>
        </w:rPr>
        <w:t xml:space="preserve"> </w:t>
      </w:r>
      <w:r w:rsidRPr="00AF0875">
        <w:rPr>
          <w:rFonts w:ascii="Tahoma" w:hAnsi="Tahoma" w:cs="Tahoma"/>
          <w:sz w:val="18"/>
          <w:szCs w:val="18"/>
          <w:lang w:val="sr-Cyrl-RS"/>
        </w:rPr>
        <w:t>„Сл. гласник РС“, бр. 62/2006, 47/2011, 93/2012, 99/2013 - усклађени дин. изн., 125/2014 - усклађени дин. изн., 95/2015 - усклађени дин. изн., 83/2016, 91/2016 - усклађени дин. изн., 104/2016 - др. закон, 96/2017 - усклађени дин. изн., 89/2018 - усклађени дин. изн., 95/2018 - др. закон, 86/2019 - усклађени дин. изн., 126/2020 - усклађени дин. изн., 99/2021 - усклађени дин. изн. и 111/2021 - др. закон</w:t>
      </w:r>
    </w:p>
  </w:footnote>
  <w:footnote w:id="7">
    <w:p w14:paraId="5AFEBF9D" w14:textId="0DE390EE" w:rsidR="00E505E2" w:rsidRPr="00E505E2" w:rsidRDefault="00E505E2" w:rsidP="00980E32">
      <w:pPr>
        <w:pStyle w:val="FootnoteText"/>
        <w:jc w:val="both"/>
        <w:rPr>
          <w:rFonts w:ascii="Tahoma" w:hAnsi="Tahoma" w:cs="Tahoma"/>
          <w:sz w:val="18"/>
          <w:szCs w:val="18"/>
          <w:lang w:val="sr-Cyrl-RS"/>
        </w:rPr>
      </w:pPr>
      <w:r w:rsidRPr="00E505E2">
        <w:rPr>
          <w:rStyle w:val="FootnoteReference"/>
          <w:rFonts w:ascii="Tahoma" w:hAnsi="Tahoma" w:cs="Tahoma"/>
          <w:sz w:val="18"/>
          <w:szCs w:val="18"/>
        </w:rPr>
        <w:footnoteRef/>
      </w:r>
      <w:r w:rsidRPr="00E505E2">
        <w:rPr>
          <w:rFonts w:ascii="Tahoma" w:hAnsi="Tahoma" w:cs="Tahoma"/>
          <w:sz w:val="18"/>
          <w:szCs w:val="18"/>
        </w:rPr>
        <w:t xml:space="preserve"> </w:t>
      </w:r>
      <w:r w:rsidRPr="00E505E2">
        <w:rPr>
          <w:rFonts w:ascii="Tahoma" w:hAnsi="Tahoma" w:cs="Tahoma"/>
          <w:sz w:val="18"/>
          <w:szCs w:val="18"/>
          <w:lang w:val="sr-Cyrl-RS"/>
        </w:rPr>
        <w:t xml:space="preserve"> </w:t>
      </w:r>
      <w:r w:rsidR="00980E32">
        <w:rPr>
          <w:rFonts w:ascii="Tahoma" w:hAnsi="Tahoma" w:cs="Tahoma"/>
          <w:sz w:val="18"/>
          <w:szCs w:val="18"/>
          <w:lang w:val="sr-Cyrl-RS"/>
        </w:rPr>
        <w:t xml:space="preserve">Извор: </w:t>
      </w:r>
      <w:r w:rsidR="00E70E7B">
        <w:rPr>
          <w:rFonts w:ascii="Tahoma" w:hAnsi="Tahoma" w:cs="Tahoma"/>
          <w:sz w:val="18"/>
          <w:szCs w:val="18"/>
          <w:lang w:val="sr-Cyrl-RS"/>
        </w:rPr>
        <w:t>Одлуке о з</w:t>
      </w:r>
      <w:r w:rsidR="00980E32">
        <w:rPr>
          <w:rFonts w:ascii="Tahoma" w:hAnsi="Tahoma" w:cs="Tahoma"/>
          <w:sz w:val="18"/>
          <w:szCs w:val="18"/>
          <w:lang w:val="sr-Cyrl-RS"/>
        </w:rPr>
        <w:t>авршни</w:t>
      </w:r>
      <w:r w:rsidR="00E70E7B">
        <w:rPr>
          <w:rFonts w:ascii="Tahoma" w:hAnsi="Tahoma" w:cs="Tahoma"/>
          <w:sz w:val="18"/>
          <w:szCs w:val="18"/>
          <w:lang w:val="sr-Cyrl-RS"/>
        </w:rPr>
        <w:t>м</w:t>
      </w:r>
      <w:r w:rsidR="00980E32">
        <w:rPr>
          <w:rFonts w:ascii="Tahoma" w:hAnsi="Tahoma" w:cs="Tahoma"/>
          <w:sz w:val="18"/>
          <w:szCs w:val="18"/>
          <w:lang w:val="sr-Cyrl-RS"/>
        </w:rPr>
        <w:t xml:space="preserve"> рачуни</w:t>
      </w:r>
      <w:r w:rsidR="00E70E7B">
        <w:rPr>
          <w:rFonts w:ascii="Tahoma" w:hAnsi="Tahoma" w:cs="Tahoma"/>
          <w:sz w:val="18"/>
          <w:szCs w:val="18"/>
          <w:lang w:val="sr-Cyrl-RS"/>
        </w:rPr>
        <w:t>ма</w:t>
      </w:r>
      <w:r w:rsidR="00980E32">
        <w:rPr>
          <w:rFonts w:ascii="Tahoma" w:hAnsi="Tahoma" w:cs="Tahoma"/>
          <w:sz w:val="18"/>
          <w:szCs w:val="18"/>
          <w:lang w:val="sr-Cyrl-RS"/>
        </w:rPr>
        <w:t xml:space="preserve"> буџета </w:t>
      </w:r>
      <w:r w:rsidR="00744909">
        <w:rPr>
          <w:rFonts w:ascii="Tahoma" w:hAnsi="Tahoma" w:cs="Tahoma"/>
          <w:sz w:val="18"/>
          <w:szCs w:val="18"/>
          <w:lang w:val="sr-Cyrl-RS"/>
        </w:rPr>
        <w:t xml:space="preserve">општине </w:t>
      </w:r>
      <w:r w:rsidR="00503944">
        <w:rPr>
          <w:rFonts w:ascii="Tahoma" w:hAnsi="Tahoma" w:cs="Tahoma"/>
          <w:sz w:val="18"/>
          <w:szCs w:val="18"/>
          <w:lang w:val="sr-Cyrl-RS"/>
        </w:rPr>
        <w:t>Смедеревска Паланка</w:t>
      </w:r>
      <w:r w:rsidR="00E70E7B">
        <w:rPr>
          <w:rFonts w:ascii="Tahoma" w:hAnsi="Tahoma" w:cs="Tahoma"/>
          <w:sz w:val="18"/>
          <w:szCs w:val="18"/>
          <w:lang w:val="sr-Cyrl-RS"/>
        </w:rPr>
        <w:t xml:space="preserve"> 2017-2021</w:t>
      </w:r>
    </w:p>
  </w:footnote>
  <w:footnote w:id="8">
    <w:p w14:paraId="01BE1651" w14:textId="63B358AF" w:rsidR="00980E32" w:rsidRPr="001A067B" w:rsidRDefault="00980E32" w:rsidP="00980E32">
      <w:pPr>
        <w:pStyle w:val="FootnoteText"/>
        <w:rPr>
          <w:rFonts w:ascii="Tahoma" w:hAnsi="Tahoma" w:cs="Tahoma"/>
          <w:sz w:val="18"/>
          <w:szCs w:val="18"/>
          <w:lang w:val="sr-Cyrl-RS"/>
        </w:rPr>
      </w:pPr>
      <w:r w:rsidRPr="001A067B">
        <w:rPr>
          <w:rStyle w:val="FootnoteReference"/>
          <w:rFonts w:ascii="Tahoma" w:hAnsi="Tahoma" w:cs="Tahoma"/>
          <w:sz w:val="18"/>
          <w:szCs w:val="18"/>
        </w:rPr>
        <w:footnoteRef/>
      </w:r>
      <w:r w:rsidRPr="001A067B">
        <w:rPr>
          <w:rFonts w:ascii="Tahoma" w:hAnsi="Tahoma" w:cs="Tahoma"/>
          <w:sz w:val="18"/>
          <w:szCs w:val="18"/>
        </w:rPr>
        <w:t xml:space="preserve"> </w:t>
      </w:r>
      <w:r w:rsidR="00093392" w:rsidRPr="001A067B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1A067B">
        <w:rPr>
          <w:rFonts w:ascii="Tahoma" w:hAnsi="Tahoma" w:cs="Tahoma"/>
          <w:sz w:val="18"/>
          <w:szCs w:val="18"/>
          <w:lang w:val="sr-Cyrl-RS"/>
        </w:rPr>
        <w:t xml:space="preserve">Извор: РСЈП – аналитичко извештајни систем ЈЛС: укупни приходи и примања у региону </w:t>
      </w:r>
      <w:r w:rsidR="00A33F62">
        <w:rPr>
          <w:rFonts w:ascii="Tahoma" w:hAnsi="Tahoma" w:cs="Tahoma"/>
          <w:sz w:val="18"/>
          <w:szCs w:val="18"/>
          <w:lang w:val="sr-Cyrl-RS"/>
        </w:rPr>
        <w:t>Јужне и Источне Србије</w:t>
      </w:r>
      <w:r w:rsidR="00150CCD" w:rsidRPr="001A067B">
        <w:rPr>
          <w:rFonts w:ascii="Tahoma" w:hAnsi="Tahoma" w:cs="Tahoma"/>
          <w:sz w:val="18"/>
          <w:szCs w:val="18"/>
          <w:lang w:val="en-US"/>
        </w:rPr>
        <w:t xml:space="preserve"> - </w:t>
      </w:r>
      <w:r w:rsidRPr="001A067B">
        <w:rPr>
          <w:rFonts w:ascii="Tahoma" w:hAnsi="Tahoma" w:cs="Tahoma"/>
          <w:sz w:val="18"/>
          <w:szCs w:val="18"/>
          <w:lang w:val="sr-Cyrl-RS"/>
        </w:rPr>
        <w:t>прорачун</w:t>
      </w:r>
      <w:r w:rsidR="00971AC3" w:rsidRPr="001A067B">
        <w:rPr>
          <w:rFonts w:ascii="Tahoma" w:hAnsi="Tahoma" w:cs="Tahoma"/>
          <w:sz w:val="18"/>
          <w:szCs w:val="18"/>
          <w:lang w:val="sr-Cyrl-RS"/>
        </w:rPr>
        <w:t xml:space="preserve"> </w:t>
      </w:r>
    </w:p>
    <w:p w14:paraId="3C97547A" w14:textId="746AD845" w:rsidR="00980E32" w:rsidRPr="001A067B" w:rsidRDefault="00980E32">
      <w:pPr>
        <w:pStyle w:val="FootnoteText"/>
        <w:rPr>
          <w:rFonts w:ascii="Tahoma" w:hAnsi="Tahoma" w:cs="Tahoma"/>
          <w:sz w:val="18"/>
          <w:szCs w:val="18"/>
          <w:lang w:val="sr-Cyrl-RS"/>
        </w:rPr>
      </w:pPr>
    </w:p>
  </w:footnote>
  <w:footnote w:id="9">
    <w:p w14:paraId="06389EDD" w14:textId="0F786F74" w:rsidR="00CA46A2" w:rsidRPr="001A067B" w:rsidRDefault="00CA46A2">
      <w:pPr>
        <w:pStyle w:val="FootnoteText"/>
        <w:rPr>
          <w:rFonts w:ascii="Tahoma" w:hAnsi="Tahoma" w:cs="Tahoma"/>
          <w:sz w:val="18"/>
          <w:szCs w:val="18"/>
          <w:lang w:val="sr-Cyrl-RS"/>
        </w:rPr>
      </w:pPr>
      <w:r w:rsidRPr="001A067B">
        <w:rPr>
          <w:rStyle w:val="FootnoteReference"/>
          <w:rFonts w:ascii="Tahoma" w:hAnsi="Tahoma" w:cs="Tahoma"/>
          <w:sz w:val="18"/>
          <w:szCs w:val="18"/>
        </w:rPr>
        <w:footnoteRef/>
      </w:r>
      <w:r w:rsidRPr="001A067B">
        <w:rPr>
          <w:rFonts w:ascii="Tahoma" w:hAnsi="Tahoma" w:cs="Tahoma"/>
          <w:sz w:val="18"/>
          <w:szCs w:val="18"/>
        </w:rPr>
        <w:t xml:space="preserve"> </w:t>
      </w:r>
      <w:r w:rsidR="009920B3" w:rsidRPr="001A067B">
        <w:rPr>
          <w:rFonts w:ascii="Tahoma" w:hAnsi="Tahoma" w:cs="Tahoma"/>
          <w:sz w:val="18"/>
          <w:szCs w:val="18"/>
          <w:lang w:val="sr-Cyrl-RS"/>
        </w:rPr>
        <w:t xml:space="preserve">У поређењу са осталим </w:t>
      </w:r>
      <w:r w:rsidR="00B93F5B">
        <w:rPr>
          <w:rFonts w:ascii="Tahoma" w:hAnsi="Tahoma" w:cs="Tahoma"/>
          <w:sz w:val="18"/>
          <w:szCs w:val="18"/>
          <w:lang w:val="sr-Cyrl-RS"/>
        </w:rPr>
        <w:t>општинама</w:t>
      </w:r>
      <w:r w:rsidR="009920B3" w:rsidRPr="001A067B">
        <w:rPr>
          <w:rFonts w:ascii="Tahoma" w:hAnsi="Tahoma" w:cs="Tahoma"/>
          <w:sz w:val="18"/>
          <w:szCs w:val="18"/>
          <w:lang w:val="sr-Cyrl-RS"/>
        </w:rPr>
        <w:t xml:space="preserve"> у региону, </w:t>
      </w:r>
      <w:r w:rsidR="004E172C" w:rsidRPr="001A067B">
        <w:rPr>
          <w:rFonts w:ascii="Tahoma" w:hAnsi="Tahoma" w:cs="Tahoma"/>
          <w:sz w:val="18"/>
          <w:szCs w:val="18"/>
          <w:lang w:val="sr-Cyrl-RS"/>
        </w:rPr>
        <w:t xml:space="preserve">коришћени су </w:t>
      </w:r>
      <w:r w:rsidR="004E172C">
        <w:rPr>
          <w:rFonts w:ascii="Tahoma" w:hAnsi="Tahoma" w:cs="Tahoma"/>
          <w:sz w:val="18"/>
          <w:szCs w:val="18"/>
          <w:lang w:val="sr-Cyrl-RS"/>
        </w:rPr>
        <w:t xml:space="preserve">просечни </w:t>
      </w:r>
      <w:r w:rsidR="004E172C" w:rsidRPr="001A067B">
        <w:rPr>
          <w:rFonts w:ascii="Tahoma" w:hAnsi="Tahoma" w:cs="Tahoma"/>
          <w:sz w:val="18"/>
          <w:szCs w:val="18"/>
          <w:lang w:val="sr-Cyrl-RS"/>
        </w:rPr>
        <w:t xml:space="preserve">подаци за </w:t>
      </w:r>
      <w:r w:rsidR="000B3A0E">
        <w:rPr>
          <w:rFonts w:ascii="Tahoma" w:hAnsi="Tahoma" w:cs="Tahoma"/>
          <w:sz w:val="18"/>
          <w:szCs w:val="18"/>
          <w:lang w:val="sr-Cyrl-RS"/>
        </w:rPr>
        <w:t>38</w:t>
      </w:r>
      <w:r w:rsidR="004E172C">
        <w:rPr>
          <w:rFonts w:ascii="Tahoma" w:hAnsi="Tahoma" w:cs="Tahoma"/>
          <w:sz w:val="18"/>
          <w:szCs w:val="18"/>
          <w:lang w:val="sr-Cyrl-RS"/>
        </w:rPr>
        <w:t xml:space="preserve"> других општина који припадају региону </w:t>
      </w:r>
      <w:r w:rsidR="000B3A0E">
        <w:rPr>
          <w:rFonts w:ascii="Tahoma" w:hAnsi="Tahoma" w:cs="Tahoma"/>
          <w:sz w:val="18"/>
          <w:szCs w:val="18"/>
          <w:lang w:val="sr-Cyrl-RS"/>
        </w:rPr>
        <w:t xml:space="preserve">Јужне и Источне </w:t>
      </w:r>
      <w:r w:rsidR="004E172C">
        <w:rPr>
          <w:rFonts w:ascii="Tahoma" w:hAnsi="Tahoma" w:cs="Tahoma"/>
          <w:sz w:val="18"/>
          <w:szCs w:val="18"/>
          <w:lang w:val="sr-Cyrl-RS"/>
        </w:rPr>
        <w:t>Србије – подаци аналитичко извештајног сервиса РСЈП - прорачун</w:t>
      </w:r>
    </w:p>
  </w:footnote>
  <w:footnote w:id="10">
    <w:p w14:paraId="0E337705" w14:textId="3706075D" w:rsidR="00F67578" w:rsidRPr="00AC6020" w:rsidRDefault="00F67578" w:rsidP="00F67578">
      <w:pPr>
        <w:pStyle w:val="FootnoteText"/>
        <w:rPr>
          <w:rFonts w:ascii="Tahoma" w:hAnsi="Tahoma" w:cs="Tahoma"/>
          <w:sz w:val="18"/>
          <w:szCs w:val="18"/>
          <w:lang w:val="sr-Latn-RS"/>
        </w:rPr>
      </w:pPr>
      <w:r w:rsidRPr="00AC6020">
        <w:rPr>
          <w:rStyle w:val="FootnoteReference"/>
          <w:rFonts w:ascii="Tahoma" w:hAnsi="Tahoma" w:cs="Tahoma"/>
          <w:sz w:val="18"/>
          <w:szCs w:val="18"/>
        </w:rPr>
        <w:footnoteRef/>
      </w:r>
      <w:r w:rsidRPr="00AC6020">
        <w:rPr>
          <w:rFonts w:ascii="Tahoma" w:hAnsi="Tahoma" w:cs="Tahoma"/>
          <w:sz w:val="18"/>
          <w:szCs w:val="18"/>
        </w:rPr>
        <w:t xml:space="preserve"> </w:t>
      </w:r>
      <w:r w:rsidRPr="00AC6020">
        <w:rPr>
          <w:rFonts w:ascii="Tahoma" w:hAnsi="Tahoma" w:cs="Tahoma"/>
          <w:noProof/>
          <w:sz w:val="18"/>
          <w:szCs w:val="18"/>
          <w:lang w:val="sr-Latn-RS"/>
        </w:rPr>
        <w:t xml:space="preserve">„Сл. гласник РС“, бр. </w:t>
      </w:r>
      <w:r w:rsidRPr="00AC6020">
        <w:rPr>
          <w:rFonts w:ascii="Tahoma" w:hAnsi="Tahoma" w:cs="Tahoma"/>
          <w:iCs/>
          <w:noProof/>
          <w:sz w:val="18"/>
          <w:szCs w:val="18"/>
          <w:lang w:val="sr-Latn-RS"/>
        </w:rPr>
        <w:t>16/</w:t>
      </w:r>
      <w:r w:rsidR="002B0556">
        <w:rPr>
          <w:rFonts w:ascii="Tahoma" w:hAnsi="Tahoma" w:cs="Tahoma"/>
          <w:iCs/>
          <w:noProof/>
          <w:sz w:val="18"/>
          <w:szCs w:val="18"/>
          <w:lang w:val="sr-Cyrl-RS"/>
        </w:rPr>
        <w:t>20</w:t>
      </w:r>
      <w:r w:rsidRPr="00AC6020">
        <w:rPr>
          <w:rFonts w:ascii="Tahoma" w:hAnsi="Tahoma" w:cs="Tahoma"/>
          <w:iCs/>
          <w:noProof/>
          <w:sz w:val="18"/>
          <w:szCs w:val="18"/>
          <w:lang w:val="sr-Latn-RS"/>
        </w:rPr>
        <w:t>16, 49/</w:t>
      </w:r>
      <w:r w:rsidR="009F4071">
        <w:rPr>
          <w:rFonts w:ascii="Tahoma" w:hAnsi="Tahoma" w:cs="Tahoma"/>
          <w:iCs/>
          <w:noProof/>
          <w:sz w:val="18"/>
          <w:szCs w:val="18"/>
          <w:lang w:val="sr-Cyrl-RS"/>
        </w:rPr>
        <w:t>20</w:t>
      </w:r>
      <w:r w:rsidRPr="00AC6020">
        <w:rPr>
          <w:rFonts w:ascii="Tahoma" w:hAnsi="Tahoma" w:cs="Tahoma"/>
          <w:iCs/>
          <w:noProof/>
          <w:sz w:val="18"/>
          <w:szCs w:val="18"/>
          <w:lang w:val="sr-Latn-RS"/>
        </w:rPr>
        <w:t>16, 107/</w:t>
      </w:r>
      <w:r w:rsidR="009F4071">
        <w:rPr>
          <w:rFonts w:ascii="Tahoma" w:hAnsi="Tahoma" w:cs="Tahoma"/>
          <w:iCs/>
          <w:noProof/>
          <w:sz w:val="18"/>
          <w:szCs w:val="18"/>
          <w:lang w:val="sr-Cyrl-RS"/>
        </w:rPr>
        <w:t>20</w:t>
      </w:r>
      <w:r w:rsidRPr="00AC6020">
        <w:rPr>
          <w:rFonts w:ascii="Tahoma" w:hAnsi="Tahoma" w:cs="Tahoma"/>
          <w:iCs/>
          <w:noProof/>
          <w:sz w:val="18"/>
          <w:szCs w:val="18"/>
          <w:lang w:val="sr-Latn-RS"/>
        </w:rPr>
        <w:t>16, 46/</w:t>
      </w:r>
      <w:r w:rsidR="009F4071">
        <w:rPr>
          <w:rFonts w:ascii="Tahoma" w:hAnsi="Tahoma" w:cs="Tahoma"/>
          <w:iCs/>
          <w:noProof/>
          <w:sz w:val="18"/>
          <w:szCs w:val="18"/>
          <w:lang w:val="sr-Cyrl-RS"/>
        </w:rPr>
        <w:t>20</w:t>
      </w:r>
      <w:r w:rsidRPr="00AC6020">
        <w:rPr>
          <w:rFonts w:ascii="Tahoma" w:hAnsi="Tahoma" w:cs="Tahoma"/>
          <w:iCs/>
          <w:noProof/>
          <w:sz w:val="18"/>
          <w:szCs w:val="18"/>
          <w:lang w:val="sr-Latn-RS"/>
        </w:rPr>
        <w:t>17, 114/</w:t>
      </w:r>
      <w:r w:rsidR="009F4071">
        <w:rPr>
          <w:rFonts w:ascii="Tahoma" w:hAnsi="Tahoma" w:cs="Tahoma"/>
          <w:iCs/>
          <w:noProof/>
          <w:sz w:val="18"/>
          <w:szCs w:val="18"/>
          <w:lang w:val="sr-Cyrl-RS"/>
        </w:rPr>
        <w:t>20</w:t>
      </w:r>
      <w:r w:rsidRPr="00AC6020">
        <w:rPr>
          <w:rFonts w:ascii="Tahoma" w:hAnsi="Tahoma" w:cs="Tahoma"/>
          <w:iCs/>
          <w:noProof/>
          <w:sz w:val="18"/>
          <w:szCs w:val="18"/>
          <w:lang w:val="sr-Latn-RS"/>
        </w:rPr>
        <w:t>17, 20/</w:t>
      </w:r>
      <w:r w:rsidR="009F4071">
        <w:rPr>
          <w:rFonts w:ascii="Tahoma" w:hAnsi="Tahoma" w:cs="Tahoma"/>
          <w:iCs/>
          <w:noProof/>
          <w:sz w:val="18"/>
          <w:szCs w:val="18"/>
          <w:lang w:val="sr-Cyrl-RS"/>
        </w:rPr>
        <w:t>20</w:t>
      </w:r>
      <w:r w:rsidRPr="00AC6020">
        <w:rPr>
          <w:rFonts w:ascii="Tahoma" w:hAnsi="Tahoma" w:cs="Tahoma"/>
          <w:iCs/>
          <w:noProof/>
          <w:sz w:val="18"/>
          <w:szCs w:val="18"/>
          <w:lang w:val="sr-Latn-RS"/>
        </w:rPr>
        <w:t>18,36/</w:t>
      </w:r>
      <w:r w:rsidR="009F4071">
        <w:rPr>
          <w:rFonts w:ascii="Tahoma" w:hAnsi="Tahoma" w:cs="Tahoma"/>
          <w:iCs/>
          <w:noProof/>
          <w:sz w:val="18"/>
          <w:szCs w:val="18"/>
          <w:lang w:val="sr-Cyrl-RS"/>
        </w:rPr>
        <w:t>20</w:t>
      </w:r>
      <w:r w:rsidRPr="00AC6020">
        <w:rPr>
          <w:rFonts w:ascii="Tahoma" w:hAnsi="Tahoma" w:cs="Tahoma"/>
          <w:iCs/>
          <w:noProof/>
          <w:sz w:val="18"/>
          <w:szCs w:val="18"/>
          <w:lang w:val="sr-Latn-RS"/>
        </w:rPr>
        <w:t>18, 93/</w:t>
      </w:r>
      <w:r w:rsidR="009F4071">
        <w:rPr>
          <w:rFonts w:ascii="Tahoma" w:hAnsi="Tahoma" w:cs="Tahoma"/>
          <w:iCs/>
          <w:noProof/>
          <w:sz w:val="18"/>
          <w:szCs w:val="18"/>
          <w:lang w:val="sr-Cyrl-RS"/>
        </w:rPr>
        <w:t>20</w:t>
      </w:r>
      <w:r w:rsidRPr="00AC6020">
        <w:rPr>
          <w:rFonts w:ascii="Tahoma" w:hAnsi="Tahoma" w:cs="Tahoma"/>
          <w:iCs/>
          <w:noProof/>
          <w:sz w:val="18"/>
          <w:szCs w:val="18"/>
          <w:lang w:val="sr-Latn-RS"/>
        </w:rPr>
        <w:t>18, 104/</w:t>
      </w:r>
      <w:r w:rsidR="009F4071">
        <w:rPr>
          <w:rFonts w:ascii="Tahoma" w:hAnsi="Tahoma" w:cs="Tahoma"/>
          <w:iCs/>
          <w:noProof/>
          <w:sz w:val="18"/>
          <w:szCs w:val="18"/>
          <w:lang w:val="sr-Cyrl-RS"/>
        </w:rPr>
        <w:t>20</w:t>
      </w:r>
      <w:r w:rsidRPr="00AC6020">
        <w:rPr>
          <w:rFonts w:ascii="Tahoma" w:hAnsi="Tahoma" w:cs="Tahoma"/>
          <w:iCs/>
          <w:noProof/>
          <w:sz w:val="18"/>
          <w:szCs w:val="18"/>
          <w:lang w:val="sr-Latn-RS"/>
        </w:rPr>
        <w:t>18, 14/</w:t>
      </w:r>
      <w:r w:rsidR="009F4071">
        <w:rPr>
          <w:rFonts w:ascii="Tahoma" w:hAnsi="Tahoma" w:cs="Tahoma"/>
          <w:iCs/>
          <w:noProof/>
          <w:sz w:val="18"/>
          <w:szCs w:val="18"/>
          <w:lang w:val="sr-Cyrl-RS"/>
        </w:rPr>
        <w:t>20</w:t>
      </w:r>
      <w:r w:rsidRPr="00AC6020">
        <w:rPr>
          <w:rFonts w:ascii="Tahoma" w:hAnsi="Tahoma" w:cs="Tahoma"/>
          <w:iCs/>
          <w:noProof/>
          <w:sz w:val="18"/>
          <w:szCs w:val="18"/>
          <w:lang w:val="sr-Latn-RS"/>
        </w:rPr>
        <w:t>19, 33/</w:t>
      </w:r>
      <w:r w:rsidR="009F4071">
        <w:rPr>
          <w:rFonts w:ascii="Tahoma" w:hAnsi="Tahoma" w:cs="Tahoma"/>
          <w:iCs/>
          <w:noProof/>
          <w:sz w:val="18"/>
          <w:szCs w:val="18"/>
          <w:lang w:val="sr-Cyrl-RS"/>
        </w:rPr>
        <w:t>20</w:t>
      </w:r>
      <w:r w:rsidRPr="00AC6020">
        <w:rPr>
          <w:rFonts w:ascii="Tahoma" w:hAnsi="Tahoma" w:cs="Tahoma"/>
          <w:iCs/>
          <w:noProof/>
          <w:sz w:val="18"/>
          <w:szCs w:val="18"/>
          <w:lang w:val="sr-Latn-RS"/>
        </w:rPr>
        <w:t>19, 68/</w:t>
      </w:r>
      <w:r w:rsidR="009F4071">
        <w:rPr>
          <w:rFonts w:ascii="Tahoma" w:hAnsi="Tahoma" w:cs="Tahoma"/>
          <w:iCs/>
          <w:noProof/>
          <w:sz w:val="18"/>
          <w:szCs w:val="18"/>
          <w:lang w:val="sr-Cyrl-RS"/>
        </w:rPr>
        <w:t>20</w:t>
      </w:r>
      <w:r w:rsidRPr="00AC6020">
        <w:rPr>
          <w:rFonts w:ascii="Tahoma" w:hAnsi="Tahoma" w:cs="Tahoma"/>
          <w:iCs/>
          <w:noProof/>
          <w:sz w:val="18"/>
          <w:szCs w:val="18"/>
          <w:lang w:val="sr-Latn-RS"/>
        </w:rPr>
        <w:t>19, 84/</w:t>
      </w:r>
      <w:r w:rsidR="009F4071">
        <w:rPr>
          <w:rFonts w:ascii="Tahoma" w:hAnsi="Tahoma" w:cs="Tahoma"/>
          <w:iCs/>
          <w:noProof/>
          <w:sz w:val="18"/>
          <w:szCs w:val="18"/>
          <w:lang w:val="sr-Cyrl-RS"/>
        </w:rPr>
        <w:t>20</w:t>
      </w:r>
      <w:r w:rsidRPr="00AC6020">
        <w:rPr>
          <w:rFonts w:ascii="Tahoma" w:hAnsi="Tahoma" w:cs="Tahoma"/>
          <w:iCs/>
          <w:noProof/>
          <w:sz w:val="18"/>
          <w:szCs w:val="18"/>
          <w:lang w:val="sr-Latn-RS"/>
        </w:rPr>
        <w:t>19 и 151/</w:t>
      </w:r>
      <w:r w:rsidR="009F4071">
        <w:rPr>
          <w:rFonts w:ascii="Tahoma" w:hAnsi="Tahoma" w:cs="Tahoma"/>
          <w:iCs/>
          <w:noProof/>
          <w:sz w:val="18"/>
          <w:szCs w:val="18"/>
          <w:lang w:val="sr-Cyrl-RS"/>
        </w:rPr>
        <w:t>20</w:t>
      </w:r>
      <w:r w:rsidRPr="00AC6020">
        <w:rPr>
          <w:rFonts w:ascii="Tahoma" w:hAnsi="Tahoma" w:cs="Tahoma"/>
          <w:iCs/>
          <w:noProof/>
          <w:sz w:val="18"/>
          <w:szCs w:val="18"/>
          <w:lang w:val="sr-Latn-RS"/>
        </w:rPr>
        <w:t>20</w:t>
      </w:r>
    </w:p>
  </w:footnote>
  <w:footnote w:id="11">
    <w:p w14:paraId="22A627D9" w14:textId="21D62E6C" w:rsidR="00A03152" w:rsidRPr="009920B3" w:rsidRDefault="00A03152" w:rsidP="00A0315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1A067B">
        <w:rPr>
          <w:rFonts w:ascii="Tahoma" w:hAnsi="Tahoma" w:cs="Tahoma"/>
          <w:sz w:val="18"/>
          <w:szCs w:val="18"/>
          <w:lang w:val="sr-Cyrl-RS"/>
        </w:rPr>
        <w:t xml:space="preserve">У поређењу са осталим </w:t>
      </w:r>
      <w:r>
        <w:rPr>
          <w:rFonts w:ascii="Tahoma" w:hAnsi="Tahoma" w:cs="Tahoma"/>
          <w:sz w:val="18"/>
          <w:szCs w:val="18"/>
          <w:lang w:val="sr-Cyrl-RS"/>
        </w:rPr>
        <w:t>општинама</w:t>
      </w:r>
      <w:r w:rsidRPr="001A067B">
        <w:rPr>
          <w:rFonts w:ascii="Tahoma" w:hAnsi="Tahoma" w:cs="Tahoma"/>
          <w:sz w:val="18"/>
          <w:szCs w:val="18"/>
          <w:lang w:val="sr-Cyrl-RS"/>
        </w:rPr>
        <w:t xml:space="preserve"> у региону, коришћени су </w:t>
      </w:r>
      <w:r>
        <w:rPr>
          <w:rFonts w:ascii="Tahoma" w:hAnsi="Tahoma" w:cs="Tahoma"/>
          <w:sz w:val="18"/>
          <w:szCs w:val="18"/>
          <w:lang w:val="sr-Cyrl-RS"/>
        </w:rPr>
        <w:t xml:space="preserve">просечни </w:t>
      </w:r>
      <w:r w:rsidRPr="001A067B">
        <w:rPr>
          <w:rFonts w:ascii="Tahoma" w:hAnsi="Tahoma" w:cs="Tahoma"/>
          <w:sz w:val="18"/>
          <w:szCs w:val="18"/>
          <w:lang w:val="sr-Cyrl-RS"/>
        </w:rPr>
        <w:t xml:space="preserve">подаци за </w:t>
      </w:r>
      <w:r w:rsidR="001520E7">
        <w:rPr>
          <w:rFonts w:ascii="Tahoma" w:hAnsi="Tahoma" w:cs="Tahoma"/>
          <w:sz w:val="18"/>
          <w:szCs w:val="18"/>
          <w:lang w:val="sr-Cyrl-RS"/>
        </w:rPr>
        <w:t>38</w:t>
      </w:r>
      <w:r>
        <w:rPr>
          <w:rFonts w:ascii="Tahoma" w:hAnsi="Tahoma" w:cs="Tahoma"/>
          <w:sz w:val="18"/>
          <w:szCs w:val="18"/>
          <w:lang w:val="sr-Cyrl-RS"/>
        </w:rPr>
        <w:t xml:space="preserve"> других општина који припадају региону </w:t>
      </w:r>
      <w:r w:rsidR="001520E7">
        <w:rPr>
          <w:rFonts w:ascii="Tahoma" w:hAnsi="Tahoma" w:cs="Tahoma"/>
          <w:sz w:val="18"/>
          <w:szCs w:val="18"/>
          <w:lang w:val="sr-Cyrl-RS"/>
        </w:rPr>
        <w:t>Јужне и Источне</w:t>
      </w:r>
      <w:r>
        <w:rPr>
          <w:rFonts w:ascii="Tahoma" w:hAnsi="Tahoma" w:cs="Tahoma"/>
          <w:sz w:val="18"/>
          <w:szCs w:val="18"/>
          <w:lang w:val="sr-Cyrl-RS"/>
        </w:rPr>
        <w:t xml:space="preserve"> Србије – подаци аналитичко извештајног сервиса РСЈП - прорачун</w:t>
      </w:r>
    </w:p>
  </w:footnote>
  <w:footnote w:id="12">
    <w:p w14:paraId="3669116B" w14:textId="5080EDB2" w:rsidR="00E63A05" w:rsidRPr="00A6589F" w:rsidRDefault="00E63A05" w:rsidP="00E63A05">
      <w:pPr>
        <w:pStyle w:val="FootnoteText"/>
        <w:rPr>
          <w:rFonts w:ascii="Tahoma" w:hAnsi="Tahoma" w:cs="Tahoma"/>
          <w:noProof/>
          <w:sz w:val="18"/>
          <w:szCs w:val="18"/>
          <w:lang w:val="sr-Cyrl-RS"/>
        </w:rPr>
      </w:pPr>
      <w:r w:rsidRPr="00A6589F">
        <w:rPr>
          <w:rStyle w:val="FootnoteReference"/>
          <w:rFonts w:ascii="Tahoma" w:hAnsi="Tahoma" w:cs="Tahoma"/>
          <w:noProof/>
          <w:sz w:val="18"/>
          <w:szCs w:val="18"/>
          <w:lang w:val="sr-Cyrl-RS"/>
        </w:rPr>
        <w:footnoteRef/>
      </w:r>
      <w:r w:rsidRPr="00A6589F">
        <w:rPr>
          <w:rFonts w:ascii="Tahoma" w:hAnsi="Tahoma" w:cs="Tahoma"/>
          <w:noProof/>
          <w:sz w:val="18"/>
          <w:szCs w:val="18"/>
          <w:lang w:val="sr-Cyrl-RS"/>
        </w:rPr>
        <w:t xml:space="preserve"> „Сл. гласник РС“, бр. 61/</w:t>
      </w:r>
      <w:r w:rsidR="00774F1F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Pr="00A6589F">
        <w:rPr>
          <w:rFonts w:ascii="Tahoma" w:hAnsi="Tahoma" w:cs="Tahoma"/>
          <w:noProof/>
          <w:sz w:val="18"/>
          <w:szCs w:val="18"/>
          <w:lang w:val="sr-Cyrl-RS"/>
        </w:rPr>
        <w:t>05, 107/</w:t>
      </w:r>
      <w:r w:rsidR="00774F1F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Pr="00A6589F">
        <w:rPr>
          <w:rFonts w:ascii="Tahoma" w:hAnsi="Tahoma" w:cs="Tahoma"/>
          <w:noProof/>
          <w:sz w:val="18"/>
          <w:szCs w:val="18"/>
          <w:lang w:val="sr-Cyrl-RS"/>
        </w:rPr>
        <w:t>09, 78/</w:t>
      </w:r>
      <w:r w:rsidR="00774F1F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Pr="00A6589F">
        <w:rPr>
          <w:rFonts w:ascii="Tahoma" w:hAnsi="Tahoma" w:cs="Tahoma"/>
          <w:noProof/>
          <w:sz w:val="18"/>
          <w:szCs w:val="18"/>
          <w:lang w:val="sr-Cyrl-RS"/>
        </w:rPr>
        <w:t>11, 68/</w:t>
      </w:r>
      <w:r w:rsidR="00774F1F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Pr="00A6589F">
        <w:rPr>
          <w:rFonts w:ascii="Tahoma" w:hAnsi="Tahoma" w:cs="Tahoma"/>
          <w:noProof/>
          <w:sz w:val="18"/>
          <w:szCs w:val="18"/>
          <w:lang w:val="sr-Cyrl-RS"/>
        </w:rPr>
        <w:t>15, 95/</w:t>
      </w:r>
      <w:r w:rsidR="00774F1F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Pr="00A6589F">
        <w:rPr>
          <w:rFonts w:ascii="Tahoma" w:hAnsi="Tahoma" w:cs="Tahoma"/>
          <w:noProof/>
          <w:sz w:val="18"/>
          <w:szCs w:val="18"/>
          <w:lang w:val="sr-Cyrl-RS"/>
        </w:rPr>
        <w:t>18, 91/</w:t>
      </w:r>
      <w:r w:rsidR="00774F1F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Pr="00A6589F">
        <w:rPr>
          <w:rFonts w:ascii="Tahoma" w:hAnsi="Tahoma" w:cs="Tahoma"/>
          <w:noProof/>
          <w:sz w:val="18"/>
          <w:szCs w:val="18"/>
          <w:lang w:val="sr-Cyrl-RS"/>
        </w:rPr>
        <w:t>19 и 149/</w:t>
      </w:r>
      <w:r w:rsidR="00774F1F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Pr="00A6589F">
        <w:rPr>
          <w:rFonts w:ascii="Tahoma" w:hAnsi="Tahoma" w:cs="Tahoma"/>
          <w:noProof/>
          <w:sz w:val="18"/>
          <w:szCs w:val="18"/>
          <w:lang w:val="sr-Cyrl-RS"/>
        </w:rPr>
        <w:t>20</w:t>
      </w:r>
    </w:p>
  </w:footnote>
  <w:footnote w:id="13">
    <w:p w14:paraId="7BAE65EF" w14:textId="152877B6" w:rsidR="00A5283F" w:rsidRPr="000D7F98" w:rsidRDefault="00A5283F">
      <w:pPr>
        <w:pStyle w:val="FootnoteText"/>
        <w:rPr>
          <w:rFonts w:ascii="Tahoma" w:hAnsi="Tahoma" w:cs="Tahoma"/>
          <w:noProof/>
          <w:sz w:val="18"/>
          <w:szCs w:val="18"/>
          <w:lang w:val="sr-Cyrl-RS"/>
        </w:rPr>
      </w:pPr>
      <w:r w:rsidRPr="000D7F98">
        <w:rPr>
          <w:rStyle w:val="FootnoteReference"/>
          <w:rFonts w:ascii="Tahoma" w:hAnsi="Tahoma" w:cs="Tahoma"/>
          <w:noProof/>
          <w:sz w:val="18"/>
          <w:szCs w:val="18"/>
          <w:lang w:val="sr-Cyrl-RS"/>
        </w:rPr>
        <w:footnoteRef/>
      </w:r>
      <w:r w:rsidRPr="000D7F98">
        <w:rPr>
          <w:rFonts w:ascii="Tahoma" w:hAnsi="Tahoma" w:cs="Tahoma"/>
          <w:noProof/>
          <w:sz w:val="18"/>
          <w:szCs w:val="18"/>
          <w:lang w:val="sr-Cyrl-RS"/>
        </w:rPr>
        <w:t xml:space="preserve"> “Сл. гласник РС“, бр. 61/</w:t>
      </w:r>
      <w:r w:rsidR="00A922B2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Pr="000D7F98">
        <w:rPr>
          <w:rFonts w:ascii="Tahoma" w:hAnsi="Tahoma" w:cs="Tahoma"/>
          <w:noProof/>
          <w:sz w:val="18"/>
          <w:szCs w:val="18"/>
          <w:lang w:val="sr-Cyrl-RS"/>
        </w:rPr>
        <w:t>05, 107/</w:t>
      </w:r>
      <w:r w:rsidR="00A922B2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Pr="000D7F98">
        <w:rPr>
          <w:rFonts w:ascii="Tahoma" w:hAnsi="Tahoma" w:cs="Tahoma"/>
          <w:noProof/>
          <w:sz w:val="18"/>
          <w:szCs w:val="18"/>
          <w:lang w:val="sr-Cyrl-RS"/>
        </w:rPr>
        <w:t>09, 78/</w:t>
      </w:r>
      <w:r w:rsidR="00A922B2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Pr="000D7F98">
        <w:rPr>
          <w:rFonts w:ascii="Tahoma" w:hAnsi="Tahoma" w:cs="Tahoma"/>
          <w:noProof/>
          <w:sz w:val="18"/>
          <w:szCs w:val="18"/>
          <w:lang w:val="sr-Cyrl-RS"/>
        </w:rPr>
        <w:t>11, 68/</w:t>
      </w:r>
      <w:r w:rsidR="00A922B2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Pr="000D7F98">
        <w:rPr>
          <w:rFonts w:ascii="Tahoma" w:hAnsi="Tahoma" w:cs="Tahoma"/>
          <w:noProof/>
          <w:sz w:val="18"/>
          <w:szCs w:val="18"/>
          <w:lang w:val="sr-Cyrl-RS"/>
        </w:rPr>
        <w:t>15, 95/</w:t>
      </w:r>
      <w:r w:rsidR="00A922B2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Pr="000D7F98">
        <w:rPr>
          <w:rFonts w:ascii="Tahoma" w:hAnsi="Tahoma" w:cs="Tahoma"/>
          <w:noProof/>
          <w:sz w:val="18"/>
          <w:szCs w:val="18"/>
          <w:lang w:val="sr-Cyrl-RS"/>
        </w:rPr>
        <w:t>18, 91/</w:t>
      </w:r>
      <w:r w:rsidR="00A922B2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Pr="000D7F98">
        <w:rPr>
          <w:rFonts w:ascii="Tahoma" w:hAnsi="Tahoma" w:cs="Tahoma"/>
          <w:noProof/>
          <w:sz w:val="18"/>
          <w:szCs w:val="18"/>
          <w:lang w:val="sr-Cyrl-RS"/>
        </w:rPr>
        <w:t>19 и 149/</w:t>
      </w:r>
      <w:r w:rsidR="00A922B2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Pr="000D7F98">
        <w:rPr>
          <w:rFonts w:ascii="Tahoma" w:hAnsi="Tahoma" w:cs="Tahoma"/>
          <w:noProof/>
          <w:sz w:val="18"/>
          <w:szCs w:val="18"/>
          <w:lang w:val="sr-Cyrl-RS"/>
        </w:rPr>
        <w:t>20</w:t>
      </w:r>
    </w:p>
  </w:footnote>
  <w:footnote w:id="14">
    <w:p w14:paraId="5AF50D60" w14:textId="77777777" w:rsidR="00E037C3" w:rsidRPr="00A145C2" w:rsidRDefault="00E037C3" w:rsidP="00E037C3">
      <w:pPr>
        <w:pStyle w:val="FootnoteText"/>
        <w:rPr>
          <w:rFonts w:ascii="Tahoma" w:hAnsi="Tahoma" w:cs="Tahoma"/>
          <w:sz w:val="18"/>
          <w:szCs w:val="18"/>
          <w:lang w:val="sr-Cyrl-RS"/>
        </w:rPr>
      </w:pPr>
      <w:r w:rsidRPr="00A145C2">
        <w:rPr>
          <w:rStyle w:val="FootnoteReference"/>
          <w:rFonts w:ascii="Tahoma" w:hAnsi="Tahoma" w:cs="Tahoma"/>
          <w:sz w:val="18"/>
          <w:szCs w:val="18"/>
        </w:rPr>
        <w:footnoteRef/>
      </w:r>
      <w:r w:rsidRPr="00A145C2">
        <w:rPr>
          <w:rFonts w:ascii="Tahoma" w:hAnsi="Tahoma" w:cs="Tahoma"/>
          <w:sz w:val="18"/>
          <w:szCs w:val="18"/>
        </w:rPr>
        <w:t xml:space="preserve"> </w:t>
      </w:r>
      <w:r w:rsidRPr="00A145C2">
        <w:rPr>
          <w:rFonts w:ascii="Tahoma" w:hAnsi="Tahoma" w:cs="Tahoma"/>
          <w:sz w:val="18"/>
          <w:szCs w:val="18"/>
          <w:lang w:val="sr-Cyrl-RS"/>
        </w:rPr>
        <w:t>РСЈП – аналитички извештајни систем ЈЛС - прорачун</w:t>
      </w:r>
    </w:p>
  </w:footnote>
  <w:footnote w:id="15">
    <w:p w14:paraId="6C896F71" w14:textId="157D546E" w:rsidR="00A5283F" w:rsidRPr="00A145C2" w:rsidRDefault="00A5283F" w:rsidP="00D3568A">
      <w:pPr>
        <w:pStyle w:val="FootnoteText"/>
        <w:rPr>
          <w:rFonts w:ascii="Tahoma" w:hAnsi="Tahoma" w:cs="Tahoma"/>
          <w:noProof/>
          <w:sz w:val="18"/>
          <w:szCs w:val="18"/>
          <w:lang w:val="sr-Cyrl-RS"/>
        </w:rPr>
      </w:pPr>
      <w:r w:rsidRPr="00A145C2">
        <w:rPr>
          <w:rStyle w:val="FootnoteReference"/>
          <w:rFonts w:ascii="Tahoma" w:hAnsi="Tahoma" w:cs="Tahoma"/>
          <w:noProof/>
          <w:sz w:val="18"/>
          <w:szCs w:val="18"/>
          <w:lang w:val="sr-Cyrl-RS"/>
        </w:rPr>
        <w:footnoteRef/>
      </w:r>
      <w:r w:rsidRPr="00A145C2">
        <w:rPr>
          <w:rFonts w:ascii="Tahoma" w:hAnsi="Tahoma" w:cs="Tahoma"/>
          <w:noProof/>
          <w:sz w:val="18"/>
          <w:szCs w:val="18"/>
          <w:lang w:val="sr-Cyrl-RS"/>
        </w:rPr>
        <w:t xml:space="preserve"> Правилник о заједничким критеријумима и стандардима за успостављање, функционисање и извештавање о систему финансијског управљања и контроле у јавном сектору („Сл. гласник РС“, бр. 89/</w:t>
      </w:r>
      <w:r w:rsidR="007450B3">
        <w:rPr>
          <w:rFonts w:ascii="Tahoma" w:hAnsi="Tahoma" w:cs="Tahoma"/>
          <w:noProof/>
          <w:sz w:val="18"/>
          <w:szCs w:val="18"/>
          <w:lang w:val="sr-Cyrl-RS"/>
        </w:rPr>
        <w:t>20</w:t>
      </w:r>
      <w:r w:rsidRPr="00A145C2">
        <w:rPr>
          <w:rFonts w:ascii="Tahoma" w:hAnsi="Tahoma" w:cs="Tahoma"/>
          <w:noProof/>
          <w:sz w:val="18"/>
          <w:szCs w:val="18"/>
          <w:lang w:val="sr-Cyrl-RS"/>
        </w:rPr>
        <w:t>19)</w:t>
      </w:r>
    </w:p>
  </w:footnote>
  <w:footnote w:id="16">
    <w:p w14:paraId="6F85385C" w14:textId="77777777" w:rsidR="00A5283F" w:rsidRPr="00A145C2" w:rsidRDefault="00A5283F" w:rsidP="00D3568A">
      <w:pPr>
        <w:pStyle w:val="NormalWeb"/>
        <w:spacing w:after="0"/>
        <w:ind w:left="288" w:hanging="288"/>
        <w:rPr>
          <w:rFonts w:ascii="Tahoma" w:hAnsi="Tahoma" w:cs="Tahoma"/>
          <w:noProof/>
          <w:sz w:val="18"/>
          <w:szCs w:val="18"/>
          <w:lang w:val="sr-Cyrl-RS"/>
        </w:rPr>
      </w:pPr>
      <w:r w:rsidRPr="00A145C2">
        <w:rPr>
          <w:rStyle w:val="FootnoteReference"/>
          <w:rFonts w:ascii="Tahoma" w:hAnsi="Tahoma" w:cs="Tahoma"/>
          <w:noProof/>
          <w:sz w:val="18"/>
          <w:szCs w:val="18"/>
          <w:lang w:val="sr-Cyrl-RS"/>
        </w:rPr>
        <w:footnoteRef/>
      </w:r>
      <w:r w:rsidRPr="00A145C2">
        <w:rPr>
          <w:rFonts w:ascii="Tahoma" w:hAnsi="Tahoma" w:cs="Tahoma"/>
          <w:noProof/>
          <w:sz w:val="18"/>
          <w:szCs w:val="18"/>
          <w:lang w:val="sr-Cyrl-RS"/>
        </w:rPr>
        <w:t xml:space="preserve"> </w:t>
      </w:r>
      <w:r w:rsidRPr="00A145C2">
        <w:rPr>
          <w:rFonts w:ascii="Tahoma" w:hAnsi="Tahoma" w:cs="Tahoma"/>
          <w:noProof/>
          <w:color w:val="222222"/>
          <w:sz w:val="18"/>
          <w:szCs w:val="18"/>
          <w:lang w:val="sr-Cyrl-RS"/>
        </w:rPr>
        <w:t>„Сл. гласник РС“, бр. 99/11 и 106/13</w:t>
      </w:r>
    </w:p>
    <w:p w14:paraId="64D01A6E" w14:textId="77777777" w:rsidR="00A5283F" w:rsidRPr="00A145C2" w:rsidRDefault="00A5283F" w:rsidP="00D3568A">
      <w:pPr>
        <w:pStyle w:val="FootnoteText"/>
        <w:rPr>
          <w:rFonts w:ascii="Tahoma" w:hAnsi="Tahoma" w:cs="Tahoma"/>
          <w:sz w:val="18"/>
          <w:szCs w:val="18"/>
          <w:lang w:val="sr-Cyrl-BA"/>
        </w:rPr>
      </w:pPr>
    </w:p>
  </w:footnote>
  <w:footnote w:id="17">
    <w:p w14:paraId="23609546" w14:textId="60846035" w:rsidR="00BB62F0" w:rsidRPr="00A145C2" w:rsidRDefault="00BB62F0">
      <w:pPr>
        <w:pStyle w:val="FootnoteText"/>
        <w:rPr>
          <w:rFonts w:ascii="Tahoma" w:hAnsi="Tahoma" w:cs="Tahoma"/>
          <w:sz w:val="18"/>
          <w:szCs w:val="18"/>
          <w:lang w:val="sr-Cyrl-RS"/>
        </w:rPr>
      </w:pPr>
      <w:r w:rsidRPr="00A145C2">
        <w:rPr>
          <w:rStyle w:val="FootnoteReference"/>
          <w:rFonts w:ascii="Tahoma" w:hAnsi="Tahoma" w:cs="Tahoma"/>
          <w:sz w:val="18"/>
          <w:szCs w:val="18"/>
        </w:rPr>
        <w:footnoteRef/>
      </w:r>
      <w:r w:rsidRPr="00A145C2">
        <w:rPr>
          <w:rFonts w:ascii="Tahoma" w:hAnsi="Tahoma" w:cs="Tahoma"/>
          <w:sz w:val="18"/>
          <w:szCs w:val="18"/>
        </w:rPr>
        <w:t xml:space="preserve"> </w:t>
      </w:r>
      <w:r w:rsidRPr="00A145C2">
        <w:rPr>
          <w:rFonts w:ascii="Tahoma" w:hAnsi="Tahoma" w:cs="Tahoma"/>
          <w:sz w:val="18"/>
          <w:szCs w:val="18"/>
          <w:lang w:val="sr-Cyrl-RS"/>
        </w:rPr>
        <w:t xml:space="preserve">Извештај о ревизији консолидованих финансијских извештаја завршног рачуна буџета </w:t>
      </w:r>
      <w:r w:rsidR="00396E84">
        <w:rPr>
          <w:rFonts w:ascii="Tahoma" w:hAnsi="Tahoma" w:cs="Tahoma"/>
          <w:sz w:val="18"/>
          <w:szCs w:val="18"/>
          <w:lang w:val="sr-Cyrl-RS"/>
        </w:rPr>
        <w:t xml:space="preserve">и правилности пословања општине </w:t>
      </w:r>
      <w:r w:rsidR="00DC7B04">
        <w:rPr>
          <w:rFonts w:ascii="Tahoma" w:hAnsi="Tahoma" w:cs="Tahoma"/>
          <w:sz w:val="18"/>
          <w:szCs w:val="18"/>
          <w:lang w:val="sr-Cyrl-RS"/>
        </w:rPr>
        <w:t>Смедеревска Паланка</w:t>
      </w:r>
      <w:r w:rsidRPr="00A145C2">
        <w:rPr>
          <w:rFonts w:ascii="Tahoma" w:hAnsi="Tahoma" w:cs="Tahoma"/>
          <w:sz w:val="18"/>
          <w:szCs w:val="18"/>
          <w:lang w:val="sr-Cyrl-RS"/>
        </w:rPr>
        <w:t xml:space="preserve"> за 201</w:t>
      </w:r>
      <w:r w:rsidR="00793FCB">
        <w:rPr>
          <w:rFonts w:ascii="Tahoma" w:hAnsi="Tahoma" w:cs="Tahoma"/>
          <w:sz w:val="18"/>
          <w:szCs w:val="18"/>
          <w:lang w:val="sr-Cyrl-RS"/>
        </w:rPr>
        <w:t>2</w:t>
      </w:r>
      <w:r w:rsidRPr="00A145C2">
        <w:rPr>
          <w:rFonts w:ascii="Tahoma" w:hAnsi="Tahoma" w:cs="Tahoma"/>
          <w:sz w:val="18"/>
          <w:szCs w:val="18"/>
          <w:lang w:val="sr-Cyrl-RS"/>
        </w:rPr>
        <w:t>. годину – Државна ревизорска институција</w:t>
      </w:r>
      <w:r w:rsidR="00396E84">
        <w:rPr>
          <w:rFonts w:ascii="Tahoma" w:hAnsi="Tahoma" w:cs="Tahoma"/>
          <w:sz w:val="18"/>
          <w:szCs w:val="18"/>
          <w:lang w:val="sr-Cyrl-RS"/>
        </w:rPr>
        <w:t>,</w:t>
      </w:r>
      <w:r w:rsidRPr="00A145C2">
        <w:rPr>
          <w:rFonts w:ascii="Tahoma" w:hAnsi="Tahoma" w:cs="Tahoma"/>
          <w:sz w:val="18"/>
          <w:szCs w:val="18"/>
          <w:lang w:val="sr-Cyrl-RS"/>
        </w:rPr>
        <w:t xml:space="preserve"> Београд, </w:t>
      </w:r>
      <w:r w:rsidR="00793FCB">
        <w:rPr>
          <w:rFonts w:ascii="Tahoma" w:hAnsi="Tahoma" w:cs="Tahoma"/>
          <w:sz w:val="18"/>
          <w:szCs w:val="18"/>
          <w:lang w:val="sr-Cyrl-RS"/>
        </w:rPr>
        <w:t>16.12</w:t>
      </w:r>
      <w:r w:rsidR="00BE62BD">
        <w:rPr>
          <w:rFonts w:ascii="Tahoma" w:hAnsi="Tahoma" w:cs="Tahoma"/>
          <w:sz w:val="18"/>
          <w:szCs w:val="18"/>
          <w:lang w:val="sr-Cyrl-RS"/>
        </w:rPr>
        <w:t>.201</w:t>
      </w:r>
      <w:r w:rsidR="00793FCB">
        <w:rPr>
          <w:rFonts w:ascii="Tahoma" w:hAnsi="Tahoma" w:cs="Tahoma"/>
          <w:sz w:val="18"/>
          <w:szCs w:val="18"/>
          <w:lang w:val="sr-Cyrl-RS"/>
        </w:rPr>
        <w:t>3</w:t>
      </w:r>
      <w:r w:rsidRPr="00A145C2">
        <w:rPr>
          <w:rFonts w:ascii="Tahoma" w:hAnsi="Tahoma" w:cs="Tahoma"/>
          <w:sz w:val="18"/>
          <w:szCs w:val="18"/>
          <w:lang w:val="sr-Cyrl-RS"/>
        </w:rPr>
        <w:t>. године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037"/>
    <w:multiLevelType w:val="multilevel"/>
    <w:tmpl w:val="E392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C45DD"/>
    <w:multiLevelType w:val="multilevel"/>
    <w:tmpl w:val="F498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23130"/>
    <w:multiLevelType w:val="multilevel"/>
    <w:tmpl w:val="8ADC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1067A"/>
    <w:multiLevelType w:val="hybridMultilevel"/>
    <w:tmpl w:val="62A48660"/>
    <w:lvl w:ilvl="0" w:tplc="708C39C2">
      <w:start w:val="1"/>
      <w:numFmt w:val="decimal"/>
      <w:lvlText w:val="%1."/>
      <w:lvlJc w:val="left"/>
      <w:pPr>
        <w:ind w:left="1800" w:hanging="360"/>
      </w:pPr>
      <w:rPr>
        <w:rFonts w:asciiTheme="majorHAnsi" w:eastAsia="SimSun" w:hAnsiTheme="majorHAns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174206"/>
    <w:multiLevelType w:val="hybridMultilevel"/>
    <w:tmpl w:val="3BEE8082"/>
    <w:lvl w:ilvl="0" w:tplc="639E00EC">
      <w:start w:val="79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57EDA"/>
    <w:multiLevelType w:val="multilevel"/>
    <w:tmpl w:val="9CD8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E5AFA"/>
    <w:multiLevelType w:val="hybridMultilevel"/>
    <w:tmpl w:val="C8366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711386"/>
    <w:multiLevelType w:val="multilevel"/>
    <w:tmpl w:val="BFFA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3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Times New Roman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471B4"/>
    <w:multiLevelType w:val="multilevel"/>
    <w:tmpl w:val="9E9A2B7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66A6160"/>
    <w:multiLevelType w:val="multilevel"/>
    <w:tmpl w:val="7D30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A152D"/>
    <w:multiLevelType w:val="multilevel"/>
    <w:tmpl w:val="15E2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B51F37"/>
    <w:multiLevelType w:val="multilevel"/>
    <w:tmpl w:val="A62C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64" w:hanging="384"/>
      </w:pPr>
      <w:rPr>
        <w:rFonts w:ascii="Calibri Light" w:eastAsia="SimSun" w:hAnsi="Calibri Light" w:cs="Calibr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B90744"/>
    <w:multiLevelType w:val="multilevel"/>
    <w:tmpl w:val="E892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D70BF"/>
    <w:multiLevelType w:val="multilevel"/>
    <w:tmpl w:val="23D4C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4" w15:restartNumberingAfterBreak="0">
    <w:nsid w:val="3B2A75FF"/>
    <w:multiLevelType w:val="multilevel"/>
    <w:tmpl w:val="18D8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F4872"/>
    <w:multiLevelType w:val="multilevel"/>
    <w:tmpl w:val="09344A8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1C42F30"/>
    <w:multiLevelType w:val="multilevel"/>
    <w:tmpl w:val="E976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002C52"/>
    <w:multiLevelType w:val="multilevel"/>
    <w:tmpl w:val="DD18909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86E58B3"/>
    <w:multiLevelType w:val="multilevel"/>
    <w:tmpl w:val="1DD8577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83654F"/>
    <w:multiLevelType w:val="hybridMultilevel"/>
    <w:tmpl w:val="A68010B0"/>
    <w:lvl w:ilvl="0" w:tplc="4DA2AC9E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60910"/>
    <w:multiLevelType w:val="hybridMultilevel"/>
    <w:tmpl w:val="9150112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4A61BB2"/>
    <w:multiLevelType w:val="hybridMultilevel"/>
    <w:tmpl w:val="F18875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75A4F62"/>
    <w:multiLevelType w:val="multilevel"/>
    <w:tmpl w:val="C430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D03F29"/>
    <w:multiLevelType w:val="multilevel"/>
    <w:tmpl w:val="36443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4359F5"/>
    <w:multiLevelType w:val="multilevel"/>
    <w:tmpl w:val="CFA8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0D5895"/>
    <w:multiLevelType w:val="multilevel"/>
    <w:tmpl w:val="205E2B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68B3302"/>
    <w:multiLevelType w:val="multilevel"/>
    <w:tmpl w:val="00B4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7C0E63"/>
    <w:multiLevelType w:val="multilevel"/>
    <w:tmpl w:val="3826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A44B29"/>
    <w:multiLevelType w:val="multilevel"/>
    <w:tmpl w:val="582878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9" w15:restartNumberingAfterBreak="0">
    <w:nsid w:val="71DD047D"/>
    <w:multiLevelType w:val="multilevel"/>
    <w:tmpl w:val="B45E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FF65CAB"/>
    <w:multiLevelType w:val="multilevel"/>
    <w:tmpl w:val="8BCA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3816603">
    <w:abstractNumId w:val="8"/>
  </w:num>
  <w:num w:numId="2" w16cid:durableId="1624923312">
    <w:abstractNumId w:val="17"/>
  </w:num>
  <w:num w:numId="3" w16cid:durableId="232009231">
    <w:abstractNumId w:val="15"/>
  </w:num>
  <w:num w:numId="4" w16cid:durableId="442067930">
    <w:abstractNumId w:val="25"/>
  </w:num>
  <w:num w:numId="5" w16cid:durableId="566763000">
    <w:abstractNumId w:val="18"/>
  </w:num>
  <w:num w:numId="6" w16cid:durableId="587546140">
    <w:abstractNumId w:val="28"/>
  </w:num>
  <w:num w:numId="7" w16cid:durableId="1016619124">
    <w:abstractNumId w:val="13"/>
  </w:num>
  <w:num w:numId="8" w16cid:durableId="1235748496">
    <w:abstractNumId w:val="29"/>
  </w:num>
  <w:num w:numId="9" w16cid:durableId="384525588">
    <w:abstractNumId w:val="27"/>
  </w:num>
  <w:num w:numId="10" w16cid:durableId="393503501">
    <w:abstractNumId w:val="26"/>
  </w:num>
  <w:num w:numId="11" w16cid:durableId="2052533219">
    <w:abstractNumId w:val="1"/>
  </w:num>
  <w:num w:numId="12" w16cid:durableId="600720970">
    <w:abstractNumId w:val="7"/>
  </w:num>
  <w:num w:numId="13" w16cid:durableId="163937938">
    <w:abstractNumId w:val="0"/>
  </w:num>
  <w:num w:numId="14" w16cid:durableId="1836913202">
    <w:abstractNumId w:val="11"/>
  </w:num>
  <w:num w:numId="15" w16cid:durableId="1045760542">
    <w:abstractNumId w:val="9"/>
  </w:num>
  <w:num w:numId="16" w16cid:durableId="1917327242">
    <w:abstractNumId w:val="22"/>
  </w:num>
  <w:num w:numId="17" w16cid:durableId="278415890">
    <w:abstractNumId w:val="2"/>
  </w:num>
  <w:num w:numId="18" w16cid:durableId="1745646351">
    <w:abstractNumId w:val="16"/>
  </w:num>
  <w:num w:numId="19" w16cid:durableId="44261094">
    <w:abstractNumId w:val="10"/>
  </w:num>
  <w:num w:numId="20" w16cid:durableId="1657414522">
    <w:abstractNumId w:val="14"/>
  </w:num>
  <w:num w:numId="21" w16cid:durableId="1918049336">
    <w:abstractNumId w:val="30"/>
  </w:num>
  <w:num w:numId="22" w16cid:durableId="623973380">
    <w:abstractNumId w:val="23"/>
  </w:num>
  <w:num w:numId="23" w16cid:durableId="268464866">
    <w:abstractNumId w:val="5"/>
  </w:num>
  <w:num w:numId="24" w16cid:durableId="938290162">
    <w:abstractNumId w:val="12"/>
  </w:num>
  <w:num w:numId="25" w16cid:durableId="347753355">
    <w:abstractNumId w:val="24"/>
  </w:num>
  <w:num w:numId="26" w16cid:durableId="324361573">
    <w:abstractNumId w:val="6"/>
  </w:num>
  <w:num w:numId="27" w16cid:durableId="1995209818">
    <w:abstractNumId w:val="21"/>
  </w:num>
  <w:num w:numId="28" w16cid:durableId="1487744936">
    <w:abstractNumId w:val="3"/>
  </w:num>
  <w:num w:numId="29" w16cid:durableId="1459563117">
    <w:abstractNumId w:val="20"/>
  </w:num>
  <w:num w:numId="30" w16cid:durableId="212813185">
    <w:abstractNumId w:val="19"/>
  </w:num>
  <w:num w:numId="31" w16cid:durableId="546844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6D"/>
    <w:rsid w:val="000007A8"/>
    <w:rsid w:val="00001CDC"/>
    <w:rsid w:val="000032AC"/>
    <w:rsid w:val="000038D1"/>
    <w:rsid w:val="00003A12"/>
    <w:rsid w:val="00004E85"/>
    <w:rsid w:val="00006260"/>
    <w:rsid w:val="000078B4"/>
    <w:rsid w:val="00007E27"/>
    <w:rsid w:val="0001015E"/>
    <w:rsid w:val="00012934"/>
    <w:rsid w:val="00012D49"/>
    <w:rsid w:val="00013C2D"/>
    <w:rsid w:val="00014F62"/>
    <w:rsid w:val="00015509"/>
    <w:rsid w:val="00015814"/>
    <w:rsid w:val="00015858"/>
    <w:rsid w:val="00023391"/>
    <w:rsid w:val="00025331"/>
    <w:rsid w:val="00025939"/>
    <w:rsid w:val="0002659C"/>
    <w:rsid w:val="00031FE4"/>
    <w:rsid w:val="00033894"/>
    <w:rsid w:val="000340EB"/>
    <w:rsid w:val="00035ABE"/>
    <w:rsid w:val="000360EA"/>
    <w:rsid w:val="000375DE"/>
    <w:rsid w:val="000419A2"/>
    <w:rsid w:val="00041CBC"/>
    <w:rsid w:val="000445CC"/>
    <w:rsid w:val="00050493"/>
    <w:rsid w:val="00052F0F"/>
    <w:rsid w:val="00052F16"/>
    <w:rsid w:val="000536E5"/>
    <w:rsid w:val="00053B17"/>
    <w:rsid w:val="00053B8C"/>
    <w:rsid w:val="00055DAE"/>
    <w:rsid w:val="00055F91"/>
    <w:rsid w:val="00056DF9"/>
    <w:rsid w:val="000578BD"/>
    <w:rsid w:val="000601BB"/>
    <w:rsid w:val="00061011"/>
    <w:rsid w:val="000622E5"/>
    <w:rsid w:val="000625FD"/>
    <w:rsid w:val="00064135"/>
    <w:rsid w:val="000659E4"/>
    <w:rsid w:val="00065B5D"/>
    <w:rsid w:val="00070761"/>
    <w:rsid w:val="00070B48"/>
    <w:rsid w:val="000744ED"/>
    <w:rsid w:val="00074574"/>
    <w:rsid w:val="000750EB"/>
    <w:rsid w:val="00075E1F"/>
    <w:rsid w:val="00076811"/>
    <w:rsid w:val="0007788E"/>
    <w:rsid w:val="00077EE0"/>
    <w:rsid w:val="0008063B"/>
    <w:rsid w:val="00080951"/>
    <w:rsid w:val="00086401"/>
    <w:rsid w:val="0008712B"/>
    <w:rsid w:val="00090510"/>
    <w:rsid w:val="00090C26"/>
    <w:rsid w:val="000912A5"/>
    <w:rsid w:val="0009169F"/>
    <w:rsid w:val="00093392"/>
    <w:rsid w:val="00094817"/>
    <w:rsid w:val="0009582B"/>
    <w:rsid w:val="000A0A1E"/>
    <w:rsid w:val="000A1AD0"/>
    <w:rsid w:val="000A1CD3"/>
    <w:rsid w:val="000A2D27"/>
    <w:rsid w:val="000A2E35"/>
    <w:rsid w:val="000A2E7E"/>
    <w:rsid w:val="000A64A7"/>
    <w:rsid w:val="000A726E"/>
    <w:rsid w:val="000A7686"/>
    <w:rsid w:val="000B1948"/>
    <w:rsid w:val="000B27E8"/>
    <w:rsid w:val="000B286B"/>
    <w:rsid w:val="000B3A0E"/>
    <w:rsid w:val="000B4CE3"/>
    <w:rsid w:val="000B560F"/>
    <w:rsid w:val="000B762D"/>
    <w:rsid w:val="000C09F8"/>
    <w:rsid w:val="000C0B66"/>
    <w:rsid w:val="000C2C48"/>
    <w:rsid w:val="000C3949"/>
    <w:rsid w:val="000C47C2"/>
    <w:rsid w:val="000C5977"/>
    <w:rsid w:val="000C5B2E"/>
    <w:rsid w:val="000C657F"/>
    <w:rsid w:val="000C6812"/>
    <w:rsid w:val="000C7643"/>
    <w:rsid w:val="000D0F79"/>
    <w:rsid w:val="000D23AE"/>
    <w:rsid w:val="000D4B38"/>
    <w:rsid w:val="000D56FD"/>
    <w:rsid w:val="000D6518"/>
    <w:rsid w:val="000D7C1B"/>
    <w:rsid w:val="000D7F98"/>
    <w:rsid w:val="000E07E4"/>
    <w:rsid w:val="000E15A4"/>
    <w:rsid w:val="000E1714"/>
    <w:rsid w:val="000E1F50"/>
    <w:rsid w:val="000E2E70"/>
    <w:rsid w:val="000E327C"/>
    <w:rsid w:val="000E52AE"/>
    <w:rsid w:val="000E5E18"/>
    <w:rsid w:val="000E7BC2"/>
    <w:rsid w:val="000F057E"/>
    <w:rsid w:val="000F0A36"/>
    <w:rsid w:val="000F29EB"/>
    <w:rsid w:val="000F2EE1"/>
    <w:rsid w:val="000F339B"/>
    <w:rsid w:val="000F40F2"/>
    <w:rsid w:val="000F4818"/>
    <w:rsid w:val="000F52BF"/>
    <w:rsid w:val="000F5371"/>
    <w:rsid w:val="000F55A8"/>
    <w:rsid w:val="000F59BC"/>
    <w:rsid w:val="000F5A65"/>
    <w:rsid w:val="000F5D8B"/>
    <w:rsid w:val="000F5EF1"/>
    <w:rsid w:val="000F6069"/>
    <w:rsid w:val="000F6CD3"/>
    <w:rsid w:val="000F7751"/>
    <w:rsid w:val="00100AD8"/>
    <w:rsid w:val="00101704"/>
    <w:rsid w:val="0010248D"/>
    <w:rsid w:val="00103707"/>
    <w:rsid w:val="00104064"/>
    <w:rsid w:val="00106946"/>
    <w:rsid w:val="0010753D"/>
    <w:rsid w:val="00110F0B"/>
    <w:rsid w:val="00111028"/>
    <w:rsid w:val="00111127"/>
    <w:rsid w:val="001115E4"/>
    <w:rsid w:val="00111FAE"/>
    <w:rsid w:val="00112DD5"/>
    <w:rsid w:val="00113851"/>
    <w:rsid w:val="00113F0E"/>
    <w:rsid w:val="001162ED"/>
    <w:rsid w:val="001203E0"/>
    <w:rsid w:val="00120FA7"/>
    <w:rsid w:val="001215B5"/>
    <w:rsid w:val="00124992"/>
    <w:rsid w:val="00125446"/>
    <w:rsid w:val="00125ADE"/>
    <w:rsid w:val="00126B52"/>
    <w:rsid w:val="00130237"/>
    <w:rsid w:val="00130476"/>
    <w:rsid w:val="00130742"/>
    <w:rsid w:val="001311C5"/>
    <w:rsid w:val="001316C4"/>
    <w:rsid w:val="001317F0"/>
    <w:rsid w:val="0013188E"/>
    <w:rsid w:val="001360D8"/>
    <w:rsid w:val="00136DC7"/>
    <w:rsid w:val="00140534"/>
    <w:rsid w:val="00141197"/>
    <w:rsid w:val="001416ED"/>
    <w:rsid w:val="00142F57"/>
    <w:rsid w:val="001432DA"/>
    <w:rsid w:val="00145189"/>
    <w:rsid w:val="001455BA"/>
    <w:rsid w:val="00145C62"/>
    <w:rsid w:val="00145D0B"/>
    <w:rsid w:val="00146297"/>
    <w:rsid w:val="00147605"/>
    <w:rsid w:val="00147B0E"/>
    <w:rsid w:val="00150773"/>
    <w:rsid w:val="00150CCD"/>
    <w:rsid w:val="00151146"/>
    <w:rsid w:val="0015122C"/>
    <w:rsid w:val="001520E7"/>
    <w:rsid w:val="00153BA3"/>
    <w:rsid w:val="0015717C"/>
    <w:rsid w:val="00157630"/>
    <w:rsid w:val="0016171B"/>
    <w:rsid w:val="001618C3"/>
    <w:rsid w:val="00163CB0"/>
    <w:rsid w:val="00165A3D"/>
    <w:rsid w:val="00171F18"/>
    <w:rsid w:val="001746C2"/>
    <w:rsid w:val="001764A4"/>
    <w:rsid w:val="0017691B"/>
    <w:rsid w:val="00177F10"/>
    <w:rsid w:val="0018264E"/>
    <w:rsid w:val="00184316"/>
    <w:rsid w:val="001845F3"/>
    <w:rsid w:val="001855EC"/>
    <w:rsid w:val="00185DF1"/>
    <w:rsid w:val="00186ACD"/>
    <w:rsid w:val="00186F40"/>
    <w:rsid w:val="00187527"/>
    <w:rsid w:val="00190F59"/>
    <w:rsid w:val="001912B6"/>
    <w:rsid w:val="0019267A"/>
    <w:rsid w:val="00192FB3"/>
    <w:rsid w:val="00193C81"/>
    <w:rsid w:val="00194216"/>
    <w:rsid w:val="001945E1"/>
    <w:rsid w:val="001947F7"/>
    <w:rsid w:val="0019570D"/>
    <w:rsid w:val="001964E9"/>
    <w:rsid w:val="0019653F"/>
    <w:rsid w:val="0019780D"/>
    <w:rsid w:val="001A067B"/>
    <w:rsid w:val="001A1083"/>
    <w:rsid w:val="001A1F54"/>
    <w:rsid w:val="001A2498"/>
    <w:rsid w:val="001A3B30"/>
    <w:rsid w:val="001A3EEE"/>
    <w:rsid w:val="001A4128"/>
    <w:rsid w:val="001A52F6"/>
    <w:rsid w:val="001A5569"/>
    <w:rsid w:val="001A662A"/>
    <w:rsid w:val="001A6DC6"/>
    <w:rsid w:val="001B12BC"/>
    <w:rsid w:val="001B2EAA"/>
    <w:rsid w:val="001B2FA0"/>
    <w:rsid w:val="001B5047"/>
    <w:rsid w:val="001B5449"/>
    <w:rsid w:val="001B744D"/>
    <w:rsid w:val="001C1C86"/>
    <w:rsid w:val="001C3613"/>
    <w:rsid w:val="001C38A7"/>
    <w:rsid w:val="001C5820"/>
    <w:rsid w:val="001C5DF0"/>
    <w:rsid w:val="001C7B86"/>
    <w:rsid w:val="001D08EB"/>
    <w:rsid w:val="001D0CBB"/>
    <w:rsid w:val="001D1D1F"/>
    <w:rsid w:val="001D1E7E"/>
    <w:rsid w:val="001D1E9D"/>
    <w:rsid w:val="001D1F85"/>
    <w:rsid w:val="001D3B68"/>
    <w:rsid w:val="001D72EE"/>
    <w:rsid w:val="001E1CA3"/>
    <w:rsid w:val="001E3E3E"/>
    <w:rsid w:val="001E48C0"/>
    <w:rsid w:val="001E504E"/>
    <w:rsid w:val="001E5752"/>
    <w:rsid w:val="001E5A20"/>
    <w:rsid w:val="001E61FB"/>
    <w:rsid w:val="001E632B"/>
    <w:rsid w:val="001E6A52"/>
    <w:rsid w:val="001E7493"/>
    <w:rsid w:val="001E7D67"/>
    <w:rsid w:val="001E7DBE"/>
    <w:rsid w:val="001F0B82"/>
    <w:rsid w:val="001F440E"/>
    <w:rsid w:val="001F5BF7"/>
    <w:rsid w:val="0020030E"/>
    <w:rsid w:val="00201C49"/>
    <w:rsid w:val="00202402"/>
    <w:rsid w:val="00202A07"/>
    <w:rsid w:val="00203845"/>
    <w:rsid w:val="0020463D"/>
    <w:rsid w:val="00205110"/>
    <w:rsid w:val="00205E21"/>
    <w:rsid w:val="00206CF9"/>
    <w:rsid w:val="00210772"/>
    <w:rsid w:val="002114DA"/>
    <w:rsid w:val="00211E23"/>
    <w:rsid w:val="0021362F"/>
    <w:rsid w:val="00213BCA"/>
    <w:rsid w:val="00214515"/>
    <w:rsid w:val="0022058F"/>
    <w:rsid w:val="00220879"/>
    <w:rsid w:val="002217C9"/>
    <w:rsid w:val="002222B8"/>
    <w:rsid w:val="00222496"/>
    <w:rsid w:val="00222743"/>
    <w:rsid w:val="00222F49"/>
    <w:rsid w:val="00223ED7"/>
    <w:rsid w:val="0022478D"/>
    <w:rsid w:val="00224DAC"/>
    <w:rsid w:val="00224E6D"/>
    <w:rsid w:val="00225272"/>
    <w:rsid w:val="00225D0F"/>
    <w:rsid w:val="00226F69"/>
    <w:rsid w:val="00227598"/>
    <w:rsid w:val="002323A9"/>
    <w:rsid w:val="00232C60"/>
    <w:rsid w:val="002340B6"/>
    <w:rsid w:val="00234334"/>
    <w:rsid w:val="002343E8"/>
    <w:rsid w:val="00235892"/>
    <w:rsid w:val="00236987"/>
    <w:rsid w:val="002406F6"/>
    <w:rsid w:val="00240868"/>
    <w:rsid w:val="00240D68"/>
    <w:rsid w:val="00246D52"/>
    <w:rsid w:val="00250FF5"/>
    <w:rsid w:val="002536CC"/>
    <w:rsid w:val="00253988"/>
    <w:rsid w:val="0025659D"/>
    <w:rsid w:val="00260E73"/>
    <w:rsid w:val="0026238E"/>
    <w:rsid w:val="00263869"/>
    <w:rsid w:val="00263BE7"/>
    <w:rsid w:val="00264AF4"/>
    <w:rsid w:val="00265DCC"/>
    <w:rsid w:val="002661F8"/>
    <w:rsid w:val="00266770"/>
    <w:rsid w:val="002674DD"/>
    <w:rsid w:val="0026795F"/>
    <w:rsid w:val="002679E9"/>
    <w:rsid w:val="00270F48"/>
    <w:rsid w:val="0027191F"/>
    <w:rsid w:val="00271E14"/>
    <w:rsid w:val="00272AF0"/>
    <w:rsid w:val="00273121"/>
    <w:rsid w:val="00273F54"/>
    <w:rsid w:val="002748E3"/>
    <w:rsid w:val="002769CA"/>
    <w:rsid w:val="00280BF6"/>
    <w:rsid w:val="00282D38"/>
    <w:rsid w:val="002846AB"/>
    <w:rsid w:val="00290C0E"/>
    <w:rsid w:val="00291F51"/>
    <w:rsid w:val="0029263B"/>
    <w:rsid w:val="00292F29"/>
    <w:rsid w:val="00295ED0"/>
    <w:rsid w:val="0029660E"/>
    <w:rsid w:val="00296C3C"/>
    <w:rsid w:val="00297071"/>
    <w:rsid w:val="002A004C"/>
    <w:rsid w:val="002A0A99"/>
    <w:rsid w:val="002A10F5"/>
    <w:rsid w:val="002A35EC"/>
    <w:rsid w:val="002A6B93"/>
    <w:rsid w:val="002A6CE8"/>
    <w:rsid w:val="002A7F7C"/>
    <w:rsid w:val="002B0556"/>
    <w:rsid w:val="002B1EB9"/>
    <w:rsid w:val="002B2079"/>
    <w:rsid w:val="002B32E7"/>
    <w:rsid w:val="002B360D"/>
    <w:rsid w:val="002B4B0F"/>
    <w:rsid w:val="002B4DE3"/>
    <w:rsid w:val="002B687E"/>
    <w:rsid w:val="002B69DD"/>
    <w:rsid w:val="002B6BE0"/>
    <w:rsid w:val="002C05DF"/>
    <w:rsid w:val="002C136B"/>
    <w:rsid w:val="002C19FB"/>
    <w:rsid w:val="002C1FC4"/>
    <w:rsid w:val="002C28C4"/>
    <w:rsid w:val="002C2F52"/>
    <w:rsid w:val="002C3872"/>
    <w:rsid w:val="002D1413"/>
    <w:rsid w:val="002D1EB5"/>
    <w:rsid w:val="002D25F0"/>
    <w:rsid w:val="002D2B0A"/>
    <w:rsid w:val="002D6F5E"/>
    <w:rsid w:val="002D7D37"/>
    <w:rsid w:val="002E1808"/>
    <w:rsid w:val="002E19D7"/>
    <w:rsid w:val="002E20AC"/>
    <w:rsid w:val="002E3798"/>
    <w:rsid w:val="002E3A39"/>
    <w:rsid w:val="002E45B0"/>
    <w:rsid w:val="002E6DA6"/>
    <w:rsid w:val="002F0EAE"/>
    <w:rsid w:val="002F19BA"/>
    <w:rsid w:val="002F27C0"/>
    <w:rsid w:val="002F464A"/>
    <w:rsid w:val="002F5A6B"/>
    <w:rsid w:val="002F6BE3"/>
    <w:rsid w:val="002F6CF7"/>
    <w:rsid w:val="0030045C"/>
    <w:rsid w:val="00301A08"/>
    <w:rsid w:val="00302D56"/>
    <w:rsid w:val="00303116"/>
    <w:rsid w:val="00303E68"/>
    <w:rsid w:val="00304293"/>
    <w:rsid w:val="00305472"/>
    <w:rsid w:val="0030565E"/>
    <w:rsid w:val="0030633E"/>
    <w:rsid w:val="003064D7"/>
    <w:rsid w:val="00306E48"/>
    <w:rsid w:val="0030738B"/>
    <w:rsid w:val="00307444"/>
    <w:rsid w:val="003077B7"/>
    <w:rsid w:val="00314800"/>
    <w:rsid w:val="00315196"/>
    <w:rsid w:val="00315986"/>
    <w:rsid w:val="00315E21"/>
    <w:rsid w:val="00316C10"/>
    <w:rsid w:val="00316D00"/>
    <w:rsid w:val="0031754B"/>
    <w:rsid w:val="0032130F"/>
    <w:rsid w:val="00322175"/>
    <w:rsid w:val="003225FC"/>
    <w:rsid w:val="00323438"/>
    <w:rsid w:val="003235DF"/>
    <w:rsid w:val="003247E5"/>
    <w:rsid w:val="00326D72"/>
    <w:rsid w:val="003278D0"/>
    <w:rsid w:val="003303B9"/>
    <w:rsid w:val="0033204D"/>
    <w:rsid w:val="003341DF"/>
    <w:rsid w:val="0033428F"/>
    <w:rsid w:val="003353DE"/>
    <w:rsid w:val="003363D4"/>
    <w:rsid w:val="00336CCD"/>
    <w:rsid w:val="003379A5"/>
    <w:rsid w:val="00341937"/>
    <w:rsid w:val="00342090"/>
    <w:rsid w:val="00342CE3"/>
    <w:rsid w:val="00343E7A"/>
    <w:rsid w:val="00346A83"/>
    <w:rsid w:val="0035124B"/>
    <w:rsid w:val="00352BF5"/>
    <w:rsid w:val="00353632"/>
    <w:rsid w:val="003563F4"/>
    <w:rsid w:val="003567CE"/>
    <w:rsid w:val="00356C47"/>
    <w:rsid w:val="00357896"/>
    <w:rsid w:val="00361044"/>
    <w:rsid w:val="00361D7E"/>
    <w:rsid w:val="003636CA"/>
    <w:rsid w:val="003656C4"/>
    <w:rsid w:val="00365805"/>
    <w:rsid w:val="00366A0E"/>
    <w:rsid w:val="00367034"/>
    <w:rsid w:val="00370BEB"/>
    <w:rsid w:val="00372C92"/>
    <w:rsid w:val="00375D5A"/>
    <w:rsid w:val="003776BB"/>
    <w:rsid w:val="00377B96"/>
    <w:rsid w:val="003818F3"/>
    <w:rsid w:val="00381F5B"/>
    <w:rsid w:val="003827F8"/>
    <w:rsid w:val="003835CB"/>
    <w:rsid w:val="00384926"/>
    <w:rsid w:val="00387CBA"/>
    <w:rsid w:val="00390288"/>
    <w:rsid w:val="00390CD4"/>
    <w:rsid w:val="003911C4"/>
    <w:rsid w:val="0039171D"/>
    <w:rsid w:val="00392202"/>
    <w:rsid w:val="00392B11"/>
    <w:rsid w:val="00393401"/>
    <w:rsid w:val="003939CC"/>
    <w:rsid w:val="00395102"/>
    <w:rsid w:val="00395A78"/>
    <w:rsid w:val="003967BA"/>
    <w:rsid w:val="00396A40"/>
    <w:rsid w:val="00396E84"/>
    <w:rsid w:val="00397AC9"/>
    <w:rsid w:val="003A0E35"/>
    <w:rsid w:val="003A12CD"/>
    <w:rsid w:val="003A2BD3"/>
    <w:rsid w:val="003A434C"/>
    <w:rsid w:val="003B085B"/>
    <w:rsid w:val="003B0D50"/>
    <w:rsid w:val="003B27B1"/>
    <w:rsid w:val="003B4AB2"/>
    <w:rsid w:val="003B4B3B"/>
    <w:rsid w:val="003B7E28"/>
    <w:rsid w:val="003C049C"/>
    <w:rsid w:val="003C09A2"/>
    <w:rsid w:val="003C3BE1"/>
    <w:rsid w:val="003C4C15"/>
    <w:rsid w:val="003C4D9D"/>
    <w:rsid w:val="003C7245"/>
    <w:rsid w:val="003D042D"/>
    <w:rsid w:val="003D0559"/>
    <w:rsid w:val="003D08B3"/>
    <w:rsid w:val="003D0C63"/>
    <w:rsid w:val="003D1491"/>
    <w:rsid w:val="003D34EF"/>
    <w:rsid w:val="003D448B"/>
    <w:rsid w:val="003D7075"/>
    <w:rsid w:val="003D73C4"/>
    <w:rsid w:val="003D7950"/>
    <w:rsid w:val="003E0ACF"/>
    <w:rsid w:val="003E0D8C"/>
    <w:rsid w:val="003E22E4"/>
    <w:rsid w:val="003E7D3E"/>
    <w:rsid w:val="003F087C"/>
    <w:rsid w:val="003F23F2"/>
    <w:rsid w:val="003F2659"/>
    <w:rsid w:val="003F4523"/>
    <w:rsid w:val="003F67C0"/>
    <w:rsid w:val="003F6CFC"/>
    <w:rsid w:val="00402257"/>
    <w:rsid w:val="00402272"/>
    <w:rsid w:val="00402A1A"/>
    <w:rsid w:val="004035C1"/>
    <w:rsid w:val="00403B48"/>
    <w:rsid w:val="004049BC"/>
    <w:rsid w:val="004051F2"/>
    <w:rsid w:val="004052D1"/>
    <w:rsid w:val="0040564A"/>
    <w:rsid w:val="00405A68"/>
    <w:rsid w:val="00410524"/>
    <w:rsid w:val="00411CD4"/>
    <w:rsid w:val="004121B2"/>
    <w:rsid w:val="00412862"/>
    <w:rsid w:val="00416503"/>
    <w:rsid w:val="00421752"/>
    <w:rsid w:val="0042185F"/>
    <w:rsid w:val="004220D1"/>
    <w:rsid w:val="004221C4"/>
    <w:rsid w:val="00422256"/>
    <w:rsid w:val="00422350"/>
    <w:rsid w:val="00422392"/>
    <w:rsid w:val="00422542"/>
    <w:rsid w:val="00423AD3"/>
    <w:rsid w:val="0042410C"/>
    <w:rsid w:val="004249C4"/>
    <w:rsid w:val="004255B6"/>
    <w:rsid w:val="004262FB"/>
    <w:rsid w:val="00426CE1"/>
    <w:rsid w:val="00427A1D"/>
    <w:rsid w:val="004307F6"/>
    <w:rsid w:val="0043172F"/>
    <w:rsid w:val="00432388"/>
    <w:rsid w:val="0043655D"/>
    <w:rsid w:val="004400FB"/>
    <w:rsid w:val="00441127"/>
    <w:rsid w:val="0044117A"/>
    <w:rsid w:val="00442465"/>
    <w:rsid w:val="004427A9"/>
    <w:rsid w:val="004429A9"/>
    <w:rsid w:val="0044374C"/>
    <w:rsid w:val="00444C3D"/>
    <w:rsid w:val="00445F72"/>
    <w:rsid w:val="004462C9"/>
    <w:rsid w:val="004463D0"/>
    <w:rsid w:val="00447268"/>
    <w:rsid w:val="00447620"/>
    <w:rsid w:val="00450A48"/>
    <w:rsid w:val="00451DB7"/>
    <w:rsid w:val="00452954"/>
    <w:rsid w:val="00456D21"/>
    <w:rsid w:val="00457199"/>
    <w:rsid w:val="00457458"/>
    <w:rsid w:val="00460542"/>
    <w:rsid w:val="00461ACA"/>
    <w:rsid w:val="004637B7"/>
    <w:rsid w:val="00464BBA"/>
    <w:rsid w:val="00464C01"/>
    <w:rsid w:val="004651E3"/>
    <w:rsid w:val="00465258"/>
    <w:rsid w:val="00465E50"/>
    <w:rsid w:val="00465F0C"/>
    <w:rsid w:val="00470A8C"/>
    <w:rsid w:val="00471884"/>
    <w:rsid w:val="0047242D"/>
    <w:rsid w:val="0047272B"/>
    <w:rsid w:val="004735FA"/>
    <w:rsid w:val="004745F9"/>
    <w:rsid w:val="00474604"/>
    <w:rsid w:val="0047652C"/>
    <w:rsid w:val="00480BAB"/>
    <w:rsid w:val="004814F4"/>
    <w:rsid w:val="0048317C"/>
    <w:rsid w:val="0048392A"/>
    <w:rsid w:val="00483999"/>
    <w:rsid w:val="00483A7D"/>
    <w:rsid w:val="004849B3"/>
    <w:rsid w:val="004877F3"/>
    <w:rsid w:val="00487F38"/>
    <w:rsid w:val="00487F98"/>
    <w:rsid w:val="00490F32"/>
    <w:rsid w:val="00493676"/>
    <w:rsid w:val="0049444B"/>
    <w:rsid w:val="00495694"/>
    <w:rsid w:val="0049653B"/>
    <w:rsid w:val="00496ABB"/>
    <w:rsid w:val="004971E2"/>
    <w:rsid w:val="00497E8B"/>
    <w:rsid w:val="004A0195"/>
    <w:rsid w:val="004A2B42"/>
    <w:rsid w:val="004A32D0"/>
    <w:rsid w:val="004A3AFF"/>
    <w:rsid w:val="004B09D4"/>
    <w:rsid w:val="004B0DE8"/>
    <w:rsid w:val="004B17B7"/>
    <w:rsid w:val="004B29AB"/>
    <w:rsid w:val="004B3E1E"/>
    <w:rsid w:val="004B4325"/>
    <w:rsid w:val="004B49E6"/>
    <w:rsid w:val="004B5817"/>
    <w:rsid w:val="004B6227"/>
    <w:rsid w:val="004C0964"/>
    <w:rsid w:val="004C3B5E"/>
    <w:rsid w:val="004C51AD"/>
    <w:rsid w:val="004C560B"/>
    <w:rsid w:val="004C6A18"/>
    <w:rsid w:val="004C797A"/>
    <w:rsid w:val="004D05BB"/>
    <w:rsid w:val="004D1026"/>
    <w:rsid w:val="004D1B6F"/>
    <w:rsid w:val="004D2AC3"/>
    <w:rsid w:val="004D2E85"/>
    <w:rsid w:val="004D3D3E"/>
    <w:rsid w:val="004D423A"/>
    <w:rsid w:val="004D462A"/>
    <w:rsid w:val="004D6DD0"/>
    <w:rsid w:val="004E028E"/>
    <w:rsid w:val="004E1408"/>
    <w:rsid w:val="004E172C"/>
    <w:rsid w:val="004E21B4"/>
    <w:rsid w:val="004E2B4B"/>
    <w:rsid w:val="004E3ABC"/>
    <w:rsid w:val="004E422E"/>
    <w:rsid w:val="004E4829"/>
    <w:rsid w:val="004E604A"/>
    <w:rsid w:val="004E7D69"/>
    <w:rsid w:val="004E7FF2"/>
    <w:rsid w:val="004F000D"/>
    <w:rsid w:val="004F282C"/>
    <w:rsid w:val="004F3560"/>
    <w:rsid w:val="004F5312"/>
    <w:rsid w:val="004F59CB"/>
    <w:rsid w:val="00503944"/>
    <w:rsid w:val="00505B5B"/>
    <w:rsid w:val="00505F4A"/>
    <w:rsid w:val="00510A96"/>
    <w:rsid w:val="0051209E"/>
    <w:rsid w:val="0051354B"/>
    <w:rsid w:val="00515101"/>
    <w:rsid w:val="00515ABB"/>
    <w:rsid w:val="00520528"/>
    <w:rsid w:val="0052064F"/>
    <w:rsid w:val="00520BBF"/>
    <w:rsid w:val="00522E34"/>
    <w:rsid w:val="005241B1"/>
    <w:rsid w:val="00527449"/>
    <w:rsid w:val="0053153A"/>
    <w:rsid w:val="00533D49"/>
    <w:rsid w:val="00540658"/>
    <w:rsid w:val="00540C47"/>
    <w:rsid w:val="00542249"/>
    <w:rsid w:val="0054241D"/>
    <w:rsid w:val="00542EAD"/>
    <w:rsid w:val="00543A0D"/>
    <w:rsid w:val="00543C6A"/>
    <w:rsid w:val="00544A3C"/>
    <w:rsid w:val="00545391"/>
    <w:rsid w:val="00545A61"/>
    <w:rsid w:val="00550E9E"/>
    <w:rsid w:val="00551782"/>
    <w:rsid w:val="00552121"/>
    <w:rsid w:val="00553082"/>
    <w:rsid w:val="0055309A"/>
    <w:rsid w:val="00555E58"/>
    <w:rsid w:val="00556990"/>
    <w:rsid w:val="005572F9"/>
    <w:rsid w:val="0056008A"/>
    <w:rsid w:val="0056046B"/>
    <w:rsid w:val="00560EA8"/>
    <w:rsid w:val="00561F1E"/>
    <w:rsid w:val="0056271D"/>
    <w:rsid w:val="005641B5"/>
    <w:rsid w:val="005657DD"/>
    <w:rsid w:val="005658F6"/>
    <w:rsid w:val="00565D83"/>
    <w:rsid w:val="005673FE"/>
    <w:rsid w:val="00571241"/>
    <w:rsid w:val="00573A94"/>
    <w:rsid w:val="00574153"/>
    <w:rsid w:val="0057696D"/>
    <w:rsid w:val="00580BDF"/>
    <w:rsid w:val="00581693"/>
    <w:rsid w:val="00581890"/>
    <w:rsid w:val="00582090"/>
    <w:rsid w:val="00584D5B"/>
    <w:rsid w:val="00584FBF"/>
    <w:rsid w:val="00585CB5"/>
    <w:rsid w:val="0058665E"/>
    <w:rsid w:val="00590C43"/>
    <w:rsid w:val="00591603"/>
    <w:rsid w:val="00592717"/>
    <w:rsid w:val="00593175"/>
    <w:rsid w:val="00593C77"/>
    <w:rsid w:val="00593EE9"/>
    <w:rsid w:val="0059467B"/>
    <w:rsid w:val="0059495D"/>
    <w:rsid w:val="00597ACE"/>
    <w:rsid w:val="005A0148"/>
    <w:rsid w:val="005A0EC1"/>
    <w:rsid w:val="005A64D6"/>
    <w:rsid w:val="005A6D2C"/>
    <w:rsid w:val="005A7593"/>
    <w:rsid w:val="005B0F35"/>
    <w:rsid w:val="005B1192"/>
    <w:rsid w:val="005B1F2D"/>
    <w:rsid w:val="005B213F"/>
    <w:rsid w:val="005B29E3"/>
    <w:rsid w:val="005B2BFF"/>
    <w:rsid w:val="005B2D74"/>
    <w:rsid w:val="005B417C"/>
    <w:rsid w:val="005B4546"/>
    <w:rsid w:val="005B46C4"/>
    <w:rsid w:val="005B5064"/>
    <w:rsid w:val="005B67E2"/>
    <w:rsid w:val="005B6EF7"/>
    <w:rsid w:val="005B75B7"/>
    <w:rsid w:val="005C112C"/>
    <w:rsid w:val="005C3E4E"/>
    <w:rsid w:val="005C471E"/>
    <w:rsid w:val="005C4F26"/>
    <w:rsid w:val="005C67BA"/>
    <w:rsid w:val="005C6F4C"/>
    <w:rsid w:val="005D2791"/>
    <w:rsid w:val="005D2E78"/>
    <w:rsid w:val="005D353D"/>
    <w:rsid w:val="005D35AF"/>
    <w:rsid w:val="005D4AC4"/>
    <w:rsid w:val="005D501B"/>
    <w:rsid w:val="005D547A"/>
    <w:rsid w:val="005D5A4C"/>
    <w:rsid w:val="005D618D"/>
    <w:rsid w:val="005D61C6"/>
    <w:rsid w:val="005D7E29"/>
    <w:rsid w:val="005E0169"/>
    <w:rsid w:val="005E0B86"/>
    <w:rsid w:val="005E25AB"/>
    <w:rsid w:val="005E2E49"/>
    <w:rsid w:val="005E4C53"/>
    <w:rsid w:val="005E57E3"/>
    <w:rsid w:val="005E650C"/>
    <w:rsid w:val="005F1228"/>
    <w:rsid w:val="005F1BF3"/>
    <w:rsid w:val="005F25C8"/>
    <w:rsid w:val="005F26C3"/>
    <w:rsid w:val="005F28E0"/>
    <w:rsid w:val="005F4EAC"/>
    <w:rsid w:val="005F68AB"/>
    <w:rsid w:val="005F794E"/>
    <w:rsid w:val="00601F10"/>
    <w:rsid w:val="00602268"/>
    <w:rsid w:val="00602879"/>
    <w:rsid w:val="00603924"/>
    <w:rsid w:val="00603F4B"/>
    <w:rsid w:val="00605518"/>
    <w:rsid w:val="00607C7C"/>
    <w:rsid w:val="006100DD"/>
    <w:rsid w:val="00610AA6"/>
    <w:rsid w:val="0061135F"/>
    <w:rsid w:val="00611DCF"/>
    <w:rsid w:val="00612919"/>
    <w:rsid w:val="00615621"/>
    <w:rsid w:val="00615F68"/>
    <w:rsid w:val="00617546"/>
    <w:rsid w:val="00617BF3"/>
    <w:rsid w:val="0062099A"/>
    <w:rsid w:val="006220CB"/>
    <w:rsid w:val="0062228F"/>
    <w:rsid w:val="006240DE"/>
    <w:rsid w:val="00624F66"/>
    <w:rsid w:val="00625BF5"/>
    <w:rsid w:val="006261E7"/>
    <w:rsid w:val="0062690A"/>
    <w:rsid w:val="00626A02"/>
    <w:rsid w:val="00626AA0"/>
    <w:rsid w:val="00631B26"/>
    <w:rsid w:val="00634D2A"/>
    <w:rsid w:val="00636693"/>
    <w:rsid w:val="00636A44"/>
    <w:rsid w:val="00641D7D"/>
    <w:rsid w:val="0064294C"/>
    <w:rsid w:val="00642DCA"/>
    <w:rsid w:val="006430D8"/>
    <w:rsid w:val="00644CAE"/>
    <w:rsid w:val="00645988"/>
    <w:rsid w:val="00646A8A"/>
    <w:rsid w:val="00650D86"/>
    <w:rsid w:val="006546A4"/>
    <w:rsid w:val="00661CF4"/>
    <w:rsid w:val="006629B3"/>
    <w:rsid w:val="00662F39"/>
    <w:rsid w:val="006641E1"/>
    <w:rsid w:val="006644E7"/>
    <w:rsid w:val="00666D6E"/>
    <w:rsid w:val="00667501"/>
    <w:rsid w:val="00667D65"/>
    <w:rsid w:val="00671C4C"/>
    <w:rsid w:val="00672183"/>
    <w:rsid w:val="006724CF"/>
    <w:rsid w:val="006739F9"/>
    <w:rsid w:val="00676252"/>
    <w:rsid w:val="0067630B"/>
    <w:rsid w:val="00676A82"/>
    <w:rsid w:val="00680359"/>
    <w:rsid w:val="0068560E"/>
    <w:rsid w:val="00685ACF"/>
    <w:rsid w:val="00685B04"/>
    <w:rsid w:val="0068650E"/>
    <w:rsid w:val="00686ADC"/>
    <w:rsid w:val="00690F72"/>
    <w:rsid w:val="00691517"/>
    <w:rsid w:val="006A0B93"/>
    <w:rsid w:val="006A1342"/>
    <w:rsid w:val="006A1BDB"/>
    <w:rsid w:val="006A33F6"/>
    <w:rsid w:val="006A5293"/>
    <w:rsid w:val="006A7B1E"/>
    <w:rsid w:val="006B165F"/>
    <w:rsid w:val="006B1A8B"/>
    <w:rsid w:val="006B20B8"/>
    <w:rsid w:val="006B3EC3"/>
    <w:rsid w:val="006B4128"/>
    <w:rsid w:val="006B458A"/>
    <w:rsid w:val="006B561F"/>
    <w:rsid w:val="006B714B"/>
    <w:rsid w:val="006C1B64"/>
    <w:rsid w:val="006C1F79"/>
    <w:rsid w:val="006C2289"/>
    <w:rsid w:val="006C41E8"/>
    <w:rsid w:val="006C5B49"/>
    <w:rsid w:val="006C6EBC"/>
    <w:rsid w:val="006C72CE"/>
    <w:rsid w:val="006C7F11"/>
    <w:rsid w:val="006D0356"/>
    <w:rsid w:val="006D1046"/>
    <w:rsid w:val="006D1DB0"/>
    <w:rsid w:val="006D285B"/>
    <w:rsid w:val="006D2F9A"/>
    <w:rsid w:val="006D3312"/>
    <w:rsid w:val="006D3FD8"/>
    <w:rsid w:val="006D49C1"/>
    <w:rsid w:val="006D605B"/>
    <w:rsid w:val="006D65BC"/>
    <w:rsid w:val="006D79B6"/>
    <w:rsid w:val="006E0744"/>
    <w:rsid w:val="006E1103"/>
    <w:rsid w:val="006E3039"/>
    <w:rsid w:val="006E3889"/>
    <w:rsid w:val="006E47EE"/>
    <w:rsid w:val="006E5603"/>
    <w:rsid w:val="006E562B"/>
    <w:rsid w:val="006E7AD1"/>
    <w:rsid w:val="006F07F7"/>
    <w:rsid w:val="006F1314"/>
    <w:rsid w:val="006F44FD"/>
    <w:rsid w:val="006F477B"/>
    <w:rsid w:val="006F7E29"/>
    <w:rsid w:val="00700E62"/>
    <w:rsid w:val="00702578"/>
    <w:rsid w:val="007042A6"/>
    <w:rsid w:val="00706036"/>
    <w:rsid w:val="00706BC1"/>
    <w:rsid w:val="007071A7"/>
    <w:rsid w:val="0070722B"/>
    <w:rsid w:val="007078C4"/>
    <w:rsid w:val="00716C11"/>
    <w:rsid w:val="007215E3"/>
    <w:rsid w:val="0072530D"/>
    <w:rsid w:val="0072668B"/>
    <w:rsid w:val="00726C67"/>
    <w:rsid w:val="00730DB9"/>
    <w:rsid w:val="00732C5B"/>
    <w:rsid w:val="0073419D"/>
    <w:rsid w:val="00735475"/>
    <w:rsid w:val="007364F5"/>
    <w:rsid w:val="007401DF"/>
    <w:rsid w:val="007411B3"/>
    <w:rsid w:val="00741266"/>
    <w:rsid w:val="00742EB4"/>
    <w:rsid w:val="0074321F"/>
    <w:rsid w:val="00744909"/>
    <w:rsid w:val="00744EB9"/>
    <w:rsid w:val="007450B3"/>
    <w:rsid w:val="00745253"/>
    <w:rsid w:val="007461D9"/>
    <w:rsid w:val="00746C75"/>
    <w:rsid w:val="00747B79"/>
    <w:rsid w:val="00750A83"/>
    <w:rsid w:val="00752112"/>
    <w:rsid w:val="00752873"/>
    <w:rsid w:val="007532C4"/>
    <w:rsid w:val="0075537D"/>
    <w:rsid w:val="00755C1C"/>
    <w:rsid w:val="007572A8"/>
    <w:rsid w:val="00760E14"/>
    <w:rsid w:val="00760FDB"/>
    <w:rsid w:val="0076160F"/>
    <w:rsid w:val="00763AD9"/>
    <w:rsid w:val="00766359"/>
    <w:rsid w:val="007666CE"/>
    <w:rsid w:val="0076724D"/>
    <w:rsid w:val="00767FC0"/>
    <w:rsid w:val="00771226"/>
    <w:rsid w:val="007724A7"/>
    <w:rsid w:val="0077285B"/>
    <w:rsid w:val="00773655"/>
    <w:rsid w:val="007742BA"/>
    <w:rsid w:val="00774F1F"/>
    <w:rsid w:val="00775127"/>
    <w:rsid w:val="00775477"/>
    <w:rsid w:val="007761B6"/>
    <w:rsid w:val="00776F4D"/>
    <w:rsid w:val="0078135C"/>
    <w:rsid w:val="007822EF"/>
    <w:rsid w:val="00784769"/>
    <w:rsid w:val="00784B6E"/>
    <w:rsid w:val="0079004E"/>
    <w:rsid w:val="00791D2D"/>
    <w:rsid w:val="00793DA9"/>
    <w:rsid w:val="00793FCB"/>
    <w:rsid w:val="0079439F"/>
    <w:rsid w:val="0079567A"/>
    <w:rsid w:val="007958C1"/>
    <w:rsid w:val="00796849"/>
    <w:rsid w:val="00797A2B"/>
    <w:rsid w:val="007A11FE"/>
    <w:rsid w:val="007A1393"/>
    <w:rsid w:val="007A1A27"/>
    <w:rsid w:val="007A25F9"/>
    <w:rsid w:val="007A264A"/>
    <w:rsid w:val="007A2F18"/>
    <w:rsid w:val="007A3298"/>
    <w:rsid w:val="007A411B"/>
    <w:rsid w:val="007A49C1"/>
    <w:rsid w:val="007A5793"/>
    <w:rsid w:val="007A5BAD"/>
    <w:rsid w:val="007A6104"/>
    <w:rsid w:val="007A6733"/>
    <w:rsid w:val="007A7D59"/>
    <w:rsid w:val="007B1035"/>
    <w:rsid w:val="007B11E1"/>
    <w:rsid w:val="007B273F"/>
    <w:rsid w:val="007B3965"/>
    <w:rsid w:val="007B76BC"/>
    <w:rsid w:val="007C0881"/>
    <w:rsid w:val="007C1587"/>
    <w:rsid w:val="007C2A7D"/>
    <w:rsid w:val="007C3706"/>
    <w:rsid w:val="007C41F6"/>
    <w:rsid w:val="007C4305"/>
    <w:rsid w:val="007C49A9"/>
    <w:rsid w:val="007C5691"/>
    <w:rsid w:val="007C70B3"/>
    <w:rsid w:val="007C74E2"/>
    <w:rsid w:val="007D0CE0"/>
    <w:rsid w:val="007D1F18"/>
    <w:rsid w:val="007D29DC"/>
    <w:rsid w:val="007D3A4F"/>
    <w:rsid w:val="007D6B7C"/>
    <w:rsid w:val="007D70BD"/>
    <w:rsid w:val="007D75B4"/>
    <w:rsid w:val="007D7938"/>
    <w:rsid w:val="007E00CE"/>
    <w:rsid w:val="007E0534"/>
    <w:rsid w:val="007E092D"/>
    <w:rsid w:val="007E1BF9"/>
    <w:rsid w:val="007E1C03"/>
    <w:rsid w:val="007E1E38"/>
    <w:rsid w:val="007E3BE0"/>
    <w:rsid w:val="007E40B1"/>
    <w:rsid w:val="007E693E"/>
    <w:rsid w:val="007E6F8D"/>
    <w:rsid w:val="007F1150"/>
    <w:rsid w:val="007F2DBE"/>
    <w:rsid w:val="007F43CE"/>
    <w:rsid w:val="007F5CB6"/>
    <w:rsid w:val="007F7301"/>
    <w:rsid w:val="00800369"/>
    <w:rsid w:val="0080089C"/>
    <w:rsid w:val="00800CA8"/>
    <w:rsid w:val="00805192"/>
    <w:rsid w:val="00805F75"/>
    <w:rsid w:val="00806AD3"/>
    <w:rsid w:val="00806BA8"/>
    <w:rsid w:val="00812245"/>
    <w:rsid w:val="008158B5"/>
    <w:rsid w:val="00816528"/>
    <w:rsid w:val="00816959"/>
    <w:rsid w:val="00821AA8"/>
    <w:rsid w:val="00822A24"/>
    <w:rsid w:val="0082317C"/>
    <w:rsid w:val="008237C8"/>
    <w:rsid w:val="00824167"/>
    <w:rsid w:val="00824797"/>
    <w:rsid w:val="0082591F"/>
    <w:rsid w:val="008262AE"/>
    <w:rsid w:val="00826D69"/>
    <w:rsid w:val="00826D7B"/>
    <w:rsid w:val="008303C7"/>
    <w:rsid w:val="0083075D"/>
    <w:rsid w:val="00831148"/>
    <w:rsid w:val="00831D01"/>
    <w:rsid w:val="008322F8"/>
    <w:rsid w:val="00832914"/>
    <w:rsid w:val="0083415B"/>
    <w:rsid w:val="00835070"/>
    <w:rsid w:val="00836BF0"/>
    <w:rsid w:val="008379DC"/>
    <w:rsid w:val="008413B3"/>
    <w:rsid w:val="00841CEC"/>
    <w:rsid w:val="008453C4"/>
    <w:rsid w:val="008464D6"/>
    <w:rsid w:val="00846642"/>
    <w:rsid w:val="008468B0"/>
    <w:rsid w:val="00846AE4"/>
    <w:rsid w:val="008501C5"/>
    <w:rsid w:val="008505A5"/>
    <w:rsid w:val="008519E2"/>
    <w:rsid w:val="00852294"/>
    <w:rsid w:val="00852B0C"/>
    <w:rsid w:val="00854AEC"/>
    <w:rsid w:val="008566E7"/>
    <w:rsid w:val="00857E2D"/>
    <w:rsid w:val="00860869"/>
    <w:rsid w:val="008609A2"/>
    <w:rsid w:val="0086104F"/>
    <w:rsid w:val="008619FE"/>
    <w:rsid w:val="00861F1D"/>
    <w:rsid w:val="00862683"/>
    <w:rsid w:val="00862706"/>
    <w:rsid w:val="00864EBA"/>
    <w:rsid w:val="008665ED"/>
    <w:rsid w:val="00866F9A"/>
    <w:rsid w:val="0087097E"/>
    <w:rsid w:val="008728E3"/>
    <w:rsid w:val="00873078"/>
    <w:rsid w:val="00874CB9"/>
    <w:rsid w:val="00875230"/>
    <w:rsid w:val="0087586B"/>
    <w:rsid w:val="00875CC3"/>
    <w:rsid w:val="00880B2A"/>
    <w:rsid w:val="00881ACF"/>
    <w:rsid w:val="00881CCE"/>
    <w:rsid w:val="00884472"/>
    <w:rsid w:val="00884D9C"/>
    <w:rsid w:val="008852C8"/>
    <w:rsid w:val="00885A76"/>
    <w:rsid w:val="00885DF3"/>
    <w:rsid w:val="0089154A"/>
    <w:rsid w:val="00891A83"/>
    <w:rsid w:val="00893406"/>
    <w:rsid w:val="00893F92"/>
    <w:rsid w:val="00894709"/>
    <w:rsid w:val="00895284"/>
    <w:rsid w:val="00897AFA"/>
    <w:rsid w:val="008A3B74"/>
    <w:rsid w:val="008A6A0D"/>
    <w:rsid w:val="008A75C8"/>
    <w:rsid w:val="008A7973"/>
    <w:rsid w:val="008A7E50"/>
    <w:rsid w:val="008A7F8F"/>
    <w:rsid w:val="008A7F97"/>
    <w:rsid w:val="008B0087"/>
    <w:rsid w:val="008B0DDF"/>
    <w:rsid w:val="008B103E"/>
    <w:rsid w:val="008B1D07"/>
    <w:rsid w:val="008B1DD4"/>
    <w:rsid w:val="008B2098"/>
    <w:rsid w:val="008B2761"/>
    <w:rsid w:val="008B3632"/>
    <w:rsid w:val="008B4315"/>
    <w:rsid w:val="008B43FE"/>
    <w:rsid w:val="008B4B74"/>
    <w:rsid w:val="008B5ABD"/>
    <w:rsid w:val="008B5E90"/>
    <w:rsid w:val="008B5F35"/>
    <w:rsid w:val="008B6417"/>
    <w:rsid w:val="008B73AE"/>
    <w:rsid w:val="008C17CE"/>
    <w:rsid w:val="008C2346"/>
    <w:rsid w:val="008C288E"/>
    <w:rsid w:val="008C2AF8"/>
    <w:rsid w:val="008C39A0"/>
    <w:rsid w:val="008C4033"/>
    <w:rsid w:val="008C58B3"/>
    <w:rsid w:val="008C7B99"/>
    <w:rsid w:val="008D0AF5"/>
    <w:rsid w:val="008D1689"/>
    <w:rsid w:val="008D231B"/>
    <w:rsid w:val="008D2A7B"/>
    <w:rsid w:val="008D2D99"/>
    <w:rsid w:val="008D3210"/>
    <w:rsid w:val="008D43DA"/>
    <w:rsid w:val="008D7086"/>
    <w:rsid w:val="008D7151"/>
    <w:rsid w:val="008D71A4"/>
    <w:rsid w:val="008E2678"/>
    <w:rsid w:val="008E5E55"/>
    <w:rsid w:val="008E6175"/>
    <w:rsid w:val="008E654D"/>
    <w:rsid w:val="008E69B7"/>
    <w:rsid w:val="008F0047"/>
    <w:rsid w:val="008F12B5"/>
    <w:rsid w:val="008F20D0"/>
    <w:rsid w:val="008F242A"/>
    <w:rsid w:val="008F28B5"/>
    <w:rsid w:val="008F410B"/>
    <w:rsid w:val="008F45BA"/>
    <w:rsid w:val="008F4EF6"/>
    <w:rsid w:val="008F5477"/>
    <w:rsid w:val="008F56EC"/>
    <w:rsid w:val="008F61DA"/>
    <w:rsid w:val="008F7513"/>
    <w:rsid w:val="00900A4C"/>
    <w:rsid w:val="00903CE6"/>
    <w:rsid w:val="00903D74"/>
    <w:rsid w:val="00903D8F"/>
    <w:rsid w:val="00903F29"/>
    <w:rsid w:val="00904DAE"/>
    <w:rsid w:val="00904E3D"/>
    <w:rsid w:val="009064B4"/>
    <w:rsid w:val="009077FF"/>
    <w:rsid w:val="00907948"/>
    <w:rsid w:val="00907E84"/>
    <w:rsid w:val="009107C2"/>
    <w:rsid w:val="00910B2A"/>
    <w:rsid w:val="00911F5F"/>
    <w:rsid w:val="00911FFC"/>
    <w:rsid w:val="00913CFE"/>
    <w:rsid w:val="00915003"/>
    <w:rsid w:val="00916286"/>
    <w:rsid w:val="00917AC0"/>
    <w:rsid w:val="00920757"/>
    <w:rsid w:val="00920ED6"/>
    <w:rsid w:val="00921BEB"/>
    <w:rsid w:val="009227D3"/>
    <w:rsid w:val="00922CD9"/>
    <w:rsid w:val="00923242"/>
    <w:rsid w:val="009245EE"/>
    <w:rsid w:val="00925AE4"/>
    <w:rsid w:val="00926950"/>
    <w:rsid w:val="00930409"/>
    <w:rsid w:val="009329F0"/>
    <w:rsid w:val="0093375A"/>
    <w:rsid w:val="00934F55"/>
    <w:rsid w:val="0093692F"/>
    <w:rsid w:val="00940191"/>
    <w:rsid w:val="009402EE"/>
    <w:rsid w:val="00940505"/>
    <w:rsid w:val="009433EE"/>
    <w:rsid w:val="0094353F"/>
    <w:rsid w:val="00943FF6"/>
    <w:rsid w:val="00944A65"/>
    <w:rsid w:val="009452D4"/>
    <w:rsid w:val="00946259"/>
    <w:rsid w:val="009469C1"/>
    <w:rsid w:val="00950351"/>
    <w:rsid w:val="00950446"/>
    <w:rsid w:val="009505A1"/>
    <w:rsid w:val="00951B79"/>
    <w:rsid w:val="0095263A"/>
    <w:rsid w:val="00952EB7"/>
    <w:rsid w:val="009534AF"/>
    <w:rsid w:val="009539A4"/>
    <w:rsid w:val="00953D48"/>
    <w:rsid w:val="009550F8"/>
    <w:rsid w:val="00960218"/>
    <w:rsid w:val="00960AE4"/>
    <w:rsid w:val="00961166"/>
    <w:rsid w:val="00962269"/>
    <w:rsid w:val="00962754"/>
    <w:rsid w:val="00964187"/>
    <w:rsid w:val="0096514C"/>
    <w:rsid w:val="00965A9A"/>
    <w:rsid w:val="009665EA"/>
    <w:rsid w:val="00967958"/>
    <w:rsid w:val="00967CF1"/>
    <w:rsid w:val="0097057B"/>
    <w:rsid w:val="00970DC3"/>
    <w:rsid w:val="00971AC3"/>
    <w:rsid w:val="009735AC"/>
    <w:rsid w:val="00974C42"/>
    <w:rsid w:val="00976A56"/>
    <w:rsid w:val="009804CB"/>
    <w:rsid w:val="009805AE"/>
    <w:rsid w:val="00980E32"/>
    <w:rsid w:val="00981C6F"/>
    <w:rsid w:val="009826A6"/>
    <w:rsid w:val="0098337B"/>
    <w:rsid w:val="00983ECC"/>
    <w:rsid w:val="00984B7D"/>
    <w:rsid w:val="00985197"/>
    <w:rsid w:val="009866B8"/>
    <w:rsid w:val="00986D72"/>
    <w:rsid w:val="00990890"/>
    <w:rsid w:val="00991967"/>
    <w:rsid w:val="009920B3"/>
    <w:rsid w:val="00994582"/>
    <w:rsid w:val="00997736"/>
    <w:rsid w:val="00997863"/>
    <w:rsid w:val="00997A67"/>
    <w:rsid w:val="009A0D60"/>
    <w:rsid w:val="009A35DC"/>
    <w:rsid w:val="009A4D99"/>
    <w:rsid w:val="009A6AF8"/>
    <w:rsid w:val="009A7011"/>
    <w:rsid w:val="009A7DE7"/>
    <w:rsid w:val="009B1AB6"/>
    <w:rsid w:val="009B1DF1"/>
    <w:rsid w:val="009B2121"/>
    <w:rsid w:val="009B3B3F"/>
    <w:rsid w:val="009B4B34"/>
    <w:rsid w:val="009B4E25"/>
    <w:rsid w:val="009B5090"/>
    <w:rsid w:val="009B5718"/>
    <w:rsid w:val="009B5F97"/>
    <w:rsid w:val="009B678D"/>
    <w:rsid w:val="009B753A"/>
    <w:rsid w:val="009C0672"/>
    <w:rsid w:val="009C0EFC"/>
    <w:rsid w:val="009C3858"/>
    <w:rsid w:val="009C7384"/>
    <w:rsid w:val="009C7B6B"/>
    <w:rsid w:val="009C7D07"/>
    <w:rsid w:val="009D068A"/>
    <w:rsid w:val="009D074D"/>
    <w:rsid w:val="009D09E5"/>
    <w:rsid w:val="009D1A42"/>
    <w:rsid w:val="009D3AB6"/>
    <w:rsid w:val="009D5832"/>
    <w:rsid w:val="009D7213"/>
    <w:rsid w:val="009D7A64"/>
    <w:rsid w:val="009E0554"/>
    <w:rsid w:val="009E0BAC"/>
    <w:rsid w:val="009E15D2"/>
    <w:rsid w:val="009E2B57"/>
    <w:rsid w:val="009E4448"/>
    <w:rsid w:val="009E4C8E"/>
    <w:rsid w:val="009E5189"/>
    <w:rsid w:val="009E5DFA"/>
    <w:rsid w:val="009E629C"/>
    <w:rsid w:val="009F0BF3"/>
    <w:rsid w:val="009F177D"/>
    <w:rsid w:val="009F3953"/>
    <w:rsid w:val="009F3F1D"/>
    <w:rsid w:val="009F4071"/>
    <w:rsid w:val="009F5616"/>
    <w:rsid w:val="009F603F"/>
    <w:rsid w:val="009F63E4"/>
    <w:rsid w:val="009F6A06"/>
    <w:rsid w:val="009F7A0E"/>
    <w:rsid w:val="009F7E4B"/>
    <w:rsid w:val="00A0056A"/>
    <w:rsid w:val="00A03152"/>
    <w:rsid w:val="00A03292"/>
    <w:rsid w:val="00A05827"/>
    <w:rsid w:val="00A06B90"/>
    <w:rsid w:val="00A07DC6"/>
    <w:rsid w:val="00A10861"/>
    <w:rsid w:val="00A10DEB"/>
    <w:rsid w:val="00A145C2"/>
    <w:rsid w:val="00A148B4"/>
    <w:rsid w:val="00A155F5"/>
    <w:rsid w:val="00A173EB"/>
    <w:rsid w:val="00A2111A"/>
    <w:rsid w:val="00A22A23"/>
    <w:rsid w:val="00A235E0"/>
    <w:rsid w:val="00A23F57"/>
    <w:rsid w:val="00A24B35"/>
    <w:rsid w:val="00A25308"/>
    <w:rsid w:val="00A27A26"/>
    <w:rsid w:val="00A338C7"/>
    <w:rsid w:val="00A33F62"/>
    <w:rsid w:val="00A35B67"/>
    <w:rsid w:val="00A36A15"/>
    <w:rsid w:val="00A370C4"/>
    <w:rsid w:val="00A37414"/>
    <w:rsid w:val="00A3791B"/>
    <w:rsid w:val="00A42B73"/>
    <w:rsid w:val="00A42F51"/>
    <w:rsid w:val="00A42F77"/>
    <w:rsid w:val="00A4383E"/>
    <w:rsid w:val="00A45541"/>
    <w:rsid w:val="00A4606D"/>
    <w:rsid w:val="00A463E1"/>
    <w:rsid w:val="00A46817"/>
    <w:rsid w:val="00A5064D"/>
    <w:rsid w:val="00A50ADC"/>
    <w:rsid w:val="00A5228D"/>
    <w:rsid w:val="00A52720"/>
    <w:rsid w:val="00A5283F"/>
    <w:rsid w:val="00A5580F"/>
    <w:rsid w:val="00A5692C"/>
    <w:rsid w:val="00A56B98"/>
    <w:rsid w:val="00A57BA8"/>
    <w:rsid w:val="00A57EDF"/>
    <w:rsid w:val="00A60F95"/>
    <w:rsid w:val="00A6213C"/>
    <w:rsid w:val="00A62D42"/>
    <w:rsid w:val="00A62F52"/>
    <w:rsid w:val="00A64D6A"/>
    <w:rsid w:val="00A65158"/>
    <w:rsid w:val="00A6589F"/>
    <w:rsid w:val="00A65D8C"/>
    <w:rsid w:val="00A666AD"/>
    <w:rsid w:val="00A71595"/>
    <w:rsid w:val="00A71620"/>
    <w:rsid w:val="00A7247D"/>
    <w:rsid w:val="00A73457"/>
    <w:rsid w:val="00A73611"/>
    <w:rsid w:val="00A7524D"/>
    <w:rsid w:val="00A76172"/>
    <w:rsid w:val="00A76CB9"/>
    <w:rsid w:val="00A77CA9"/>
    <w:rsid w:val="00A77FAD"/>
    <w:rsid w:val="00A82505"/>
    <w:rsid w:val="00A828F4"/>
    <w:rsid w:val="00A839D8"/>
    <w:rsid w:val="00A85B33"/>
    <w:rsid w:val="00A8600C"/>
    <w:rsid w:val="00A87BB2"/>
    <w:rsid w:val="00A87D02"/>
    <w:rsid w:val="00A90B37"/>
    <w:rsid w:val="00A922B2"/>
    <w:rsid w:val="00A93EBE"/>
    <w:rsid w:val="00A94CC9"/>
    <w:rsid w:val="00A9590F"/>
    <w:rsid w:val="00A96CF6"/>
    <w:rsid w:val="00A97A26"/>
    <w:rsid w:val="00AA0092"/>
    <w:rsid w:val="00AA074D"/>
    <w:rsid w:val="00AA1179"/>
    <w:rsid w:val="00AA28B0"/>
    <w:rsid w:val="00AA33BB"/>
    <w:rsid w:val="00AA4D41"/>
    <w:rsid w:val="00AA58B4"/>
    <w:rsid w:val="00AB0DB0"/>
    <w:rsid w:val="00AB1E6E"/>
    <w:rsid w:val="00AB326E"/>
    <w:rsid w:val="00AB3A52"/>
    <w:rsid w:val="00AC001F"/>
    <w:rsid w:val="00AC01B2"/>
    <w:rsid w:val="00AC19E3"/>
    <w:rsid w:val="00AC1B7A"/>
    <w:rsid w:val="00AC22D1"/>
    <w:rsid w:val="00AC2E16"/>
    <w:rsid w:val="00AC4B36"/>
    <w:rsid w:val="00AC6020"/>
    <w:rsid w:val="00AC644E"/>
    <w:rsid w:val="00AC6B28"/>
    <w:rsid w:val="00AC6BDF"/>
    <w:rsid w:val="00AC6CC7"/>
    <w:rsid w:val="00AC7511"/>
    <w:rsid w:val="00AC7D52"/>
    <w:rsid w:val="00AD39A3"/>
    <w:rsid w:val="00AD4198"/>
    <w:rsid w:val="00AD5F18"/>
    <w:rsid w:val="00AD5F5B"/>
    <w:rsid w:val="00AD7ACE"/>
    <w:rsid w:val="00AD7BE2"/>
    <w:rsid w:val="00AE05FB"/>
    <w:rsid w:val="00AE099C"/>
    <w:rsid w:val="00AE1278"/>
    <w:rsid w:val="00AE1FBA"/>
    <w:rsid w:val="00AE2EDE"/>
    <w:rsid w:val="00AE2EE4"/>
    <w:rsid w:val="00AE3804"/>
    <w:rsid w:val="00AE3C09"/>
    <w:rsid w:val="00AE4553"/>
    <w:rsid w:val="00AE72ED"/>
    <w:rsid w:val="00AF0875"/>
    <w:rsid w:val="00AF2A3E"/>
    <w:rsid w:val="00AF34BF"/>
    <w:rsid w:val="00AF4E46"/>
    <w:rsid w:val="00AF7551"/>
    <w:rsid w:val="00B0147B"/>
    <w:rsid w:val="00B03651"/>
    <w:rsid w:val="00B04F80"/>
    <w:rsid w:val="00B05B1E"/>
    <w:rsid w:val="00B07543"/>
    <w:rsid w:val="00B10076"/>
    <w:rsid w:val="00B1032D"/>
    <w:rsid w:val="00B1177B"/>
    <w:rsid w:val="00B1250B"/>
    <w:rsid w:val="00B12E9E"/>
    <w:rsid w:val="00B14E3D"/>
    <w:rsid w:val="00B1574D"/>
    <w:rsid w:val="00B22053"/>
    <w:rsid w:val="00B22320"/>
    <w:rsid w:val="00B24E60"/>
    <w:rsid w:val="00B25A97"/>
    <w:rsid w:val="00B268A8"/>
    <w:rsid w:val="00B30307"/>
    <w:rsid w:val="00B32EF0"/>
    <w:rsid w:val="00B33841"/>
    <w:rsid w:val="00B33DD7"/>
    <w:rsid w:val="00B348C6"/>
    <w:rsid w:val="00B40551"/>
    <w:rsid w:val="00B4078F"/>
    <w:rsid w:val="00B41149"/>
    <w:rsid w:val="00B41B02"/>
    <w:rsid w:val="00B43928"/>
    <w:rsid w:val="00B474C2"/>
    <w:rsid w:val="00B501ED"/>
    <w:rsid w:val="00B50318"/>
    <w:rsid w:val="00B503F5"/>
    <w:rsid w:val="00B513BB"/>
    <w:rsid w:val="00B52330"/>
    <w:rsid w:val="00B537DF"/>
    <w:rsid w:val="00B54991"/>
    <w:rsid w:val="00B553AA"/>
    <w:rsid w:val="00B55E7D"/>
    <w:rsid w:val="00B57D5E"/>
    <w:rsid w:val="00B6255F"/>
    <w:rsid w:val="00B62D3F"/>
    <w:rsid w:val="00B63598"/>
    <w:rsid w:val="00B64B15"/>
    <w:rsid w:val="00B64DB5"/>
    <w:rsid w:val="00B672B5"/>
    <w:rsid w:val="00B67540"/>
    <w:rsid w:val="00B7179B"/>
    <w:rsid w:val="00B717F6"/>
    <w:rsid w:val="00B720A2"/>
    <w:rsid w:val="00B726D4"/>
    <w:rsid w:val="00B72C4A"/>
    <w:rsid w:val="00B72CBF"/>
    <w:rsid w:val="00B737E9"/>
    <w:rsid w:val="00B7417D"/>
    <w:rsid w:val="00B759B7"/>
    <w:rsid w:val="00B75BE2"/>
    <w:rsid w:val="00B7636F"/>
    <w:rsid w:val="00B805C7"/>
    <w:rsid w:val="00B81F0B"/>
    <w:rsid w:val="00B835BE"/>
    <w:rsid w:val="00B841D9"/>
    <w:rsid w:val="00B90499"/>
    <w:rsid w:val="00B90E1B"/>
    <w:rsid w:val="00B91180"/>
    <w:rsid w:val="00B9130F"/>
    <w:rsid w:val="00B9205C"/>
    <w:rsid w:val="00B937EE"/>
    <w:rsid w:val="00B9399E"/>
    <w:rsid w:val="00B93F5B"/>
    <w:rsid w:val="00B95DAF"/>
    <w:rsid w:val="00B97BC1"/>
    <w:rsid w:val="00BA04BA"/>
    <w:rsid w:val="00BA0F55"/>
    <w:rsid w:val="00BA0FB4"/>
    <w:rsid w:val="00BA11F7"/>
    <w:rsid w:val="00BA1301"/>
    <w:rsid w:val="00BA179A"/>
    <w:rsid w:val="00BA21A4"/>
    <w:rsid w:val="00BA4945"/>
    <w:rsid w:val="00BA70E6"/>
    <w:rsid w:val="00BB0601"/>
    <w:rsid w:val="00BB147A"/>
    <w:rsid w:val="00BB2C87"/>
    <w:rsid w:val="00BB4587"/>
    <w:rsid w:val="00BB5773"/>
    <w:rsid w:val="00BB62F0"/>
    <w:rsid w:val="00BB73E5"/>
    <w:rsid w:val="00BB75A4"/>
    <w:rsid w:val="00BC0066"/>
    <w:rsid w:val="00BC055C"/>
    <w:rsid w:val="00BC19C0"/>
    <w:rsid w:val="00BC2545"/>
    <w:rsid w:val="00BC4F40"/>
    <w:rsid w:val="00BC5786"/>
    <w:rsid w:val="00BC5B7E"/>
    <w:rsid w:val="00BC5B92"/>
    <w:rsid w:val="00BC6F96"/>
    <w:rsid w:val="00BC7BFD"/>
    <w:rsid w:val="00BD020D"/>
    <w:rsid w:val="00BD0403"/>
    <w:rsid w:val="00BD0713"/>
    <w:rsid w:val="00BD234C"/>
    <w:rsid w:val="00BD3661"/>
    <w:rsid w:val="00BD401C"/>
    <w:rsid w:val="00BD4FA3"/>
    <w:rsid w:val="00BD5EA9"/>
    <w:rsid w:val="00BD7EAD"/>
    <w:rsid w:val="00BE2945"/>
    <w:rsid w:val="00BE62BD"/>
    <w:rsid w:val="00BE6E33"/>
    <w:rsid w:val="00BF1E32"/>
    <w:rsid w:val="00BF33E3"/>
    <w:rsid w:val="00BF4923"/>
    <w:rsid w:val="00C0070A"/>
    <w:rsid w:val="00C00E0E"/>
    <w:rsid w:val="00C00F20"/>
    <w:rsid w:val="00C024AC"/>
    <w:rsid w:val="00C02C76"/>
    <w:rsid w:val="00C04D70"/>
    <w:rsid w:val="00C0584A"/>
    <w:rsid w:val="00C058C1"/>
    <w:rsid w:val="00C059FC"/>
    <w:rsid w:val="00C0634E"/>
    <w:rsid w:val="00C0667F"/>
    <w:rsid w:val="00C074B8"/>
    <w:rsid w:val="00C07D64"/>
    <w:rsid w:val="00C1090D"/>
    <w:rsid w:val="00C12861"/>
    <w:rsid w:val="00C12ABF"/>
    <w:rsid w:val="00C140DF"/>
    <w:rsid w:val="00C14889"/>
    <w:rsid w:val="00C1563B"/>
    <w:rsid w:val="00C1650F"/>
    <w:rsid w:val="00C2156F"/>
    <w:rsid w:val="00C22706"/>
    <w:rsid w:val="00C22B67"/>
    <w:rsid w:val="00C2419B"/>
    <w:rsid w:val="00C2452B"/>
    <w:rsid w:val="00C24C15"/>
    <w:rsid w:val="00C26199"/>
    <w:rsid w:val="00C26CE0"/>
    <w:rsid w:val="00C2702D"/>
    <w:rsid w:val="00C27A3F"/>
    <w:rsid w:val="00C30697"/>
    <w:rsid w:val="00C3081D"/>
    <w:rsid w:val="00C32833"/>
    <w:rsid w:val="00C35D5C"/>
    <w:rsid w:val="00C3794B"/>
    <w:rsid w:val="00C37A18"/>
    <w:rsid w:val="00C402CE"/>
    <w:rsid w:val="00C41534"/>
    <w:rsid w:val="00C416D6"/>
    <w:rsid w:val="00C42869"/>
    <w:rsid w:val="00C42F67"/>
    <w:rsid w:val="00C4305F"/>
    <w:rsid w:val="00C44024"/>
    <w:rsid w:val="00C445B0"/>
    <w:rsid w:val="00C44954"/>
    <w:rsid w:val="00C44C3C"/>
    <w:rsid w:val="00C44CB2"/>
    <w:rsid w:val="00C46E63"/>
    <w:rsid w:val="00C46E65"/>
    <w:rsid w:val="00C502F6"/>
    <w:rsid w:val="00C50B90"/>
    <w:rsid w:val="00C51A01"/>
    <w:rsid w:val="00C51B4A"/>
    <w:rsid w:val="00C52C3D"/>
    <w:rsid w:val="00C52D21"/>
    <w:rsid w:val="00C53F1B"/>
    <w:rsid w:val="00C5410F"/>
    <w:rsid w:val="00C542C5"/>
    <w:rsid w:val="00C55E22"/>
    <w:rsid w:val="00C60321"/>
    <w:rsid w:val="00C61AA1"/>
    <w:rsid w:val="00C61F18"/>
    <w:rsid w:val="00C6762E"/>
    <w:rsid w:val="00C718C8"/>
    <w:rsid w:val="00C72081"/>
    <w:rsid w:val="00C720F5"/>
    <w:rsid w:val="00C72300"/>
    <w:rsid w:val="00C72979"/>
    <w:rsid w:val="00C72E40"/>
    <w:rsid w:val="00C73C71"/>
    <w:rsid w:val="00C73EAC"/>
    <w:rsid w:val="00C76F62"/>
    <w:rsid w:val="00C84A28"/>
    <w:rsid w:val="00C86513"/>
    <w:rsid w:val="00C865C9"/>
    <w:rsid w:val="00C86A1E"/>
    <w:rsid w:val="00C86FF6"/>
    <w:rsid w:val="00C916A5"/>
    <w:rsid w:val="00C93DD2"/>
    <w:rsid w:val="00C95C1B"/>
    <w:rsid w:val="00C96215"/>
    <w:rsid w:val="00C967B5"/>
    <w:rsid w:val="00C9689B"/>
    <w:rsid w:val="00C96E29"/>
    <w:rsid w:val="00C97E11"/>
    <w:rsid w:val="00CA14A5"/>
    <w:rsid w:val="00CA34D9"/>
    <w:rsid w:val="00CA38BC"/>
    <w:rsid w:val="00CA4556"/>
    <w:rsid w:val="00CA46A2"/>
    <w:rsid w:val="00CB0FD3"/>
    <w:rsid w:val="00CB2E10"/>
    <w:rsid w:val="00CB38A7"/>
    <w:rsid w:val="00CB3961"/>
    <w:rsid w:val="00CB4537"/>
    <w:rsid w:val="00CB69E0"/>
    <w:rsid w:val="00CC0A0B"/>
    <w:rsid w:val="00CC1B1E"/>
    <w:rsid w:val="00CC1F10"/>
    <w:rsid w:val="00CC2A94"/>
    <w:rsid w:val="00CC425A"/>
    <w:rsid w:val="00CC4A9F"/>
    <w:rsid w:val="00CD31C1"/>
    <w:rsid w:val="00CD3766"/>
    <w:rsid w:val="00CD490A"/>
    <w:rsid w:val="00CD4F64"/>
    <w:rsid w:val="00CD78C7"/>
    <w:rsid w:val="00CE0E6F"/>
    <w:rsid w:val="00CE1CDA"/>
    <w:rsid w:val="00CE2036"/>
    <w:rsid w:val="00CE3834"/>
    <w:rsid w:val="00CE41C2"/>
    <w:rsid w:val="00CE47A9"/>
    <w:rsid w:val="00CE69AC"/>
    <w:rsid w:val="00CF0646"/>
    <w:rsid w:val="00CF109C"/>
    <w:rsid w:val="00CF1DF9"/>
    <w:rsid w:val="00CF2115"/>
    <w:rsid w:val="00CF234C"/>
    <w:rsid w:val="00CF3634"/>
    <w:rsid w:val="00CF413C"/>
    <w:rsid w:val="00CF4818"/>
    <w:rsid w:val="00CF4E87"/>
    <w:rsid w:val="00CF6807"/>
    <w:rsid w:val="00CF783A"/>
    <w:rsid w:val="00CF7894"/>
    <w:rsid w:val="00CF7D06"/>
    <w:rsid w:val="00D008BB"/>
    <w:rsid w:val="00D009B2"/>
    <w:rsid w:val="00D02A38"/>
    <w:rsid w:val="00D041C3"/>
    <w:rsid w:val="00D04FD7"/>
    <w:rsid w:val="00D05039"/>
    <w:rsid w:val="00D05063"/>
    <w:rsid w:val="00D063B3"/>
    <w:rsid w:val="00D06E86"/>
    <w:rsid w:val="00D0793E"/>
    <w:rsid w:val="00D13404"/>
    <w:rsid w:val="00D14B4F"/>
    <w:rsid w:val="00D16B82"/>
    <w:rsid w:val="00D17F6D"/>
    <w:rsid w:val="00D20661"/>
    <w:rsid w:val="00D212F4"/>
    <w:rsid w:val="00D23C7A"/>
    <w:rsid w:val="00D251DA"/>
    <w:rsid w:val="00D2537E"/>
    <w:rsid w:val="00D26112"/>
    <w:rsid w:val="00D27A96"/>
    <w:rsid w:val="00D27C8B"/>
    <w:rsid w:val="00D314F7"/>
    <w:rsid w:val="00D31E10"/>
    <w:rsid w:val="00D33185"/>
    <w:rsid w:val="00D333B2"/>
    <w:rsid w:val="00D338D1"/>
    <w:rsid w:val="00D33D10"/>
    <w:rsid w:val="00D3568A"/>
    <w:rsid w:val="00D35AEE"/>
    <w:rsid w:val="00D364EA"/>
    <w:rsid w:val="00D37684"/>
    <w:rsid w:val="00D409A1"/>
    <w:rsid w:val="00D4307B"/>
    <w:rsid w:val="00D4325B"/>
    <w:rsid w:val="00D45DD5"/>
    <w:rsid w:val="00D46581"/>
    <w:rsid w:val="00D472D0"/>
    <w:rsid w:val="00D47D83"/>
    <w:rsid w:val="00D5039D"/>
    <w:rsid w:val="00D50976"/>
    <w:rsid w:val="00D51476"/>
    <w:rsid w:val="00D5188F"/>
    <w:rsid w:val="00D523D2"/>
    <w:rsid w:val="00D539EA"/>
    <w:rsid w:val="00D57A1A"/>
    <w:rsid w:val="00D61424"/>
    <w:rsid w:val="00D6190D"/>
    <w:rsid w:val="00D62463"/>
    <w:rsid w:val="00D63311"/>
    <w:rsid w:val="00D643F4"/>
    <w:rsid w:val="00D651A9"/>
    <w:rsid w:val="00D65D55"/>
    <w:rsid w:val="00D67515"/>
    <w:rsid w:val="00D703BC"/>
    <w:rsid w:val="00D72439"/>
    <w:rsid w:val="00D73947"/>
    <w:rsid w:val="00D74CDC"/>
    <w:rsid w:val="00D75EFC"/>
    <w:rsid w:val="00D76CBF"/>
    <w:rsid w:val="00D77F46"/>
    <w:rsid w:val="00D8021E"/>
    <w:rsid w:val="00D835DA"/>
    <w:rsid w:val="00D85836"/>
    <w:rsid w:val="00D862A3"/>
    <w:rsid w:val="00D927B8"/>
    <w:rsid w:val="00D929D6"/>
    <w:rsid w:val="00D929F6"/>
    <w:rsid w:val="00D94B90"/>
    <w:rsid w:val="00D97E52"/>
    <w:rsid w:val="00DA4928"/>
    <w:rsid w:val="00DA619C"/>
    <w:rsid w:val="00DA7411"/>
    <w:rsid w:val="00DB0175"/>
    <w:rsid w:val="00DB019B"/>
    <w:rsid w:val="00DB11C3"/>
    <w:rsid w:val="00DB23B0"/>
    <w:rsid w:val="00DB5A21"/>
    <w:rsid w:val="00DB5C9C"/>
    <w:rsid w:val="00DB65EA"/>
    <w:rsid w:val="00DB6FB1"/>
    <w:rsid w:val="00DC1EDA"/>
    <w:rsid w:val="00DC1FB1"/>
    <w:rsid w:val="00DC244A"/>
    <w:rsid w:val="00DC2A3B"/>
    <w:rsid w:val="00DC2AF2"/>
    <w:rsid w:val="00DC3453"/>
    <w:rsid w:val="00DC48E7"/>
    <w:rsid w:val="00DC6BA1"/>
    <w:rsid w:val="00DC6C53"/>
    <w:rsid w:val="00DC7B04"/>
    <w:rsid w:val="00DC7F87"/>
    <w:rsid w:val="00DD19D4"/>
    <w:rsid w:val="00DD2485"/>
    <w:rsid w:val="00DD2819"/>
    <w:rsid w:val="00DD3421"/>
    <w:rsid w:val="00DD3542"/>
    <w:rsid w:val="00DD3B86"/>
    <w:rsid w:val="00DD5FEB"/>
    <w:rsid w:val="00DD7362"/>
    <w:rsid w:val="00DE19AA"/>
    <w:rsid w:val="00DE1F94"/>
    <w:rsid w:val="00DE4B5C"/>
    <w:rsid w:val="00DE64D2"/>
    <w:rsid w:val="00DE6648"/>
    <w:rsid w:val="00DF146C"/>
    <w:rsid w:val="00DF20DF"/>
    <w:rsid w:val="00DF23D7"/>
    <w:rsid w:val="00DF4664"/>
    <w:rsid w:val="00DF499A"/>
    <w:rsid w:val="00DF58CD"/>
    <w:rsid w:val="00DF5ABD"/>
    <w:rsid w:val="00DF6D76"/>
    <w:rsid w:val="00DF7F49"/>
    <w:rsid w:val="00E00316"/>
    <w:rsid w:val="00E012DC"/>
    <w:rsid w:val="00E01646"/>
    <w:rsid w:val="00E0192A"/>
    <w:rsid w:val="00E02EA7"/>
    <w:rsid w:val="00E0307B"/>
    <w:rsid w:val="00E037C3"/>
    <w:rsid w:val="00E04475"/>
    <w:rsid w:val="00E04484"/>
    <w:rsid w:val="00E04757"/>
    <w:rsid w:val="00E06277"/>
    <w:rsid w:val="00E076FC"/>
    <w:rsid w:val="00E07FFB"/>
    <w:rsid w:val="00E11156"/>
    <w:rsid w:val="00E116C5"/>
    <w:rsid w:val="00E11B51"/>
    <w:rsid w:val="00E14963"/>
    <w:rsid w:val="00E157C5"/>
    <w:rsid w:val="00E17630"/>
    <w:rsid w:val="00E20C26"/>
    <w:rsid w:val="00E20EE6"/>
    <w:rsid w:val="00E23769"/>
    <w:rsid w:val="00E25513"/>
    <w:rsid w:val="00E25CBF"/>
    <w:rsid w:val="00E263B9"/>
    <w:rsid w:val="00E320F3"/>
    <w:rsid w:val="00E32702"/>
    <w:rsid w:val="00E35395"/>
    <w:rsid w:val="00E35BF5"/>
    <w:rsid w:val="00E368D1"/>
    <w:rsid w:val="00E37504"/>
    <w:rsid w:val="00E40571"/>
    <w:rsid w:val="00E40754"/>
    <w:rsid w:val="00E4076C"/>
    <w:rsid w:val="00E40DB0"/>
    <w:rsid w:val="00E41100"/>
    <w:rsid w:val="00E4328E"/>
    <w:rsid w:val="00E43396"/>
    <w:rsid w:val="00E43498"/>
    <w:rsid w:val="00E44B50"/>
    <w:rsid w:val="00E45685"/>
    <w:rsid w:val="00E45A8A"/>
    <w:rsid w:val="00E46345"/>
    <w:rsid w:val="00E505E2"/>
    <w:rsid w:val="00E50FAB"/>
    <w:rsid w:val="00E512A1"/>
    <w:rsid w:val="00E53447"/>
    <w:rsid w:val="00E53720"/>
    <w:rsid w:val="00E537F0"/>
    <w:rsid w:val="00E54A29"/>
    <w:rsid w:val="00E54B19"/>
    <w:rsid w:val="00E558F8"/>
    <w:rsid w:val="00E55BFD"/>
    <w:rsid w:val="00E5685D"/>
    <w:rsid w:val="00E568AB"/>
    <w:rsid w:val="00E602BE"/>
    <w:rsid w:val="00E612D4"/>
    <w:rsid w:val="00E63934"/>
    <w:rsid w:val="00E63A05"/>
    <w:rsid w:val="00E647BC"/>
    <w:rsid w:val="00E65363"/>
    <w:rsid w:val="00E653A0"/>
    <w:rsid w:val="00E65613"/>
    <w:rsid w:val="00E65707"/>
    <w:rsid w:val="00E6670B"/>
    <w:rsid w:val="00E667B7"/>
    <w:rsid w:val="00E66AA5"/>
    <w:rsid w:val="00E67604"/>
    <w:rsid w:val="00E70E7B"/>
    <w:rsid w:val="00E7307D"/>
    <w:rsid w:val="00E747CA"/>
    <w:rsid w:val="00E74AA5"/>
    <w:rsid w:val="00E74BBA"/>
    <w:rsid w:val="00E7506D"/>
    <w:rsid w:val="00E76261"/>
    <w:rsid w:val="00E766D3"/>
    <w:rsid w:val="00E76A18"/>
    <w:rsid w:val="00E77066"/>
    <w:rsid w:val="00E773F0"/>
    <w:rsid w:val="00E81AB6"/>
    <w:rsid w:val="00E82CE3"/>
    <w:rsid w:val="00E8461F"/>
    <w:rsid w:val="00E8582D"/>
    <w:rsid w:val="00E858E5"/>
    <w:rsid w:val="00E868EB"/>
    <w:rsid w:val="00E90AE5"/>
    <w:rsid w:val="00E952F3"/>
    <w:rsid w:val="00E95334"/>
    <w:rsid w:val="00E96D73"/>
    <w:rsid w:val="00EA1365"/>
    <w:rsid w:val="00EA13CF"/>
    <w:rsid w:val="00EA2709"/>
    <w:rsid w:val="00EA2C69"/>
    <w:rsid w:val="00EA2D5A"/>
    <w:rsid w:val="00EA6657"/>
    <w:rsid w:val="00EA7D1F"/>
    <w:rsid w:val="00EB0B5B"/>
    <w:rsid w:val="00EB1800"/>
    <w:rsid w:val="00EB21A8"/>
    <w:rsid w:val="00EB2624"/>
    <w:rsid w:val="00EB2976"/>
    <w:rsid w:val="00EB39D9"/>
    <w:rsid w:val="00EB58CF"/>
    <w:rsid w:val="00EB5F2E"/>
    <w:rsid w:val="00EB6956"/>
    <w:rsid w:val="00EB6DE4"/>
    <w:rsid w:val="00EB76C7"/>
    <w:rsid w:val="00EB7A2C"/>
    <w:rsid w:val="00EC20A6"/>
    <w:rsid w:val="00EC3529"/>
    <w:rsid w:val="00EC5C8A"/>
    <w:rsid w:val="00EC7BA7"/>
    <w:rsid w:val="00ED01CA"/>
    <w:rsid w:val="00ED0366"/>
    <w:rsid w:val="00ED049B"/>
    <w:rsid w:val="00ED257E"/>
    <w:rsid w:val="00ED28DC"/>
    <w:rsid w:val="00ED2D8E"/>
    <w:rsid w:val="00ED4F96"/>
    <w:rsid w:val="00ED6531"/>
    <w:rsid w:val="00ED75AD"/>
    <w:rsid w:val="00EE0444"/>
    <w:rsid w:val="00EE0529"/>
    <w:rsid w:val="00EE40DF"/>
    <w:rsid w:val="00EE4F9E"/>
    <w:rsid w:val="00EE54E5"/>
    <w:rsid w:val="00EE6694"/>
    <w:rsid w:val="00EE6BEA"/>
    <w:rsid w:val="00EE6C50"/>
    <w:rsid w:val="00EE705E"/>
    <w:rsid w:val="00EE714E"/>
    <w:rsid w:val="00EF00F2"/>
    <w:rsid w:val="00EF1954"/>
    <w:rsid w:val="00EF294E"/>
    <w:rsid w:val="00EF2D57"/>
    <w:rsid w:val="00EF37F9"/>
    <w:rsid w:val="00EF3CAE"/>
    <w:rsid w:val="00EF6627"/>
    <w:rsid w:val="00EF7641"/>
    <w:rsid w:val="00EF79E8"/>
    <w:rsid w:val="00F00F6E"/>
    <w:rsid w:val="00F01016"/>
    <w:rsid w:val="00F0107D"/>
    <w:rsid w:val="00F018FE"/>
    <w:rsid w:val="00F03541"/>
    <w:rsid w:val="00F03BDE"/>
    <w:rsid w:val="00F04213"/>
    <w:rsid w:val="00F04BD8"/>
    <w:rsid w:val="00F05129"/>
    <w:rsid w:val="00F060DC"/>
    <w:rsid w:val="00F0716E"/>
    <w:rsid w:val="00F0718B"/>
    <w:rsid w:val="00F117E8"/>
    <w:rsid w:val="00F128F0"/>
    <w:rsid w:val="00F1367A"/>
    <w:rsid w:val="00F13BFF"/>
    <w:rsid w:val="00F13DB1"/>
    <w:rsid w:val="00F14092"/>
    <w:rsid w:val="00F15289"/>
    <w:rsid w:val="00F1673A"/>
    <w:rsid w:val="00F17723"/>
    <w:rsid w:val="00F17B3F"/>
    <w:rsid w:val="00F21099"/>
    <w:rsid w:val="00F21144"/>
    <w:rsid w:val="00F21718"/>
    <w:rsid w:val="00F21B45"/>
    <w:rsid w:val="00F227FD"/>
    <w:rsid w:val="00F2636E"/>
    <w:rsid w:val="00F2743C"/>
    <w:rsid w:val="00F314B7"/>
    <w:rsid w:val="00F332B4"/>
    <w:rsid w:val="00F3359C"/>
    <w:rsid w:val="00F33E35"/>
    <w:rsid w:val="00F33EFD"/>
    <w:rsid w:val="00F34561"/>
    <w:rsid w:val="00F37056"/>
    <w:rsid w:val="00F37B53"/>
    <w:rsid w:val="00F37BC9"/>
    <w:rsid w:val="00F408FD"/>
    <w:rsid w:val="00F421FA"/>
    <w:rsid w:val="00F42500"/>
    <w:rsid w:val="00F428A1"/>
    <w:rsid w:val="00F44018"/>
    <w:rsid w:val="00F447F2"/>
    <w:rsid w:val="00F44A38"/>
    <w:rsid w:val="00F45BC0"/>
    <w:rsid w:val="00F4682F"/>
    <w:rsid w:val="00F47BB3"/>
    <w:rsid w:val="00F47F54"/>
    <w:rsid w:val="00F51230"/>
    <w:rsid w:val="00F52251"/>
    <w:rsid w:val="00F53939"/>
    <w:rsid w:val="00F55569"/>
    <w:rsid w:val="00F56018"/>
    <w:rsid w:val="00F60C0D"/>
    <w:rsid w:val="00F62AC3"/>
    <w:rsid w:val="00F63105"/>
    <w:rsid w:val="00F639CF"/>
    <w:rsid w:val="00F64386"/>
    <w:rsid w:val="00F64591"/>
    <w:rsid w:val="00F65014"/>
    <w:rsid w:val="00F66FA0"/>
    <w:rsid w:val="00F67578"/>
    <w:rsid w:val="00F7246C"/>
    <w:rsid w:val="00F73302"/>
    <w:rsid w:val="00F74197"/>
    <w:rsid w:val="00F7447C"/>
    <w:rsid w:val="00F749EB"/>
    <w:rsid w:val="00F75AE9"/>
    <w:rsid w:val="00F762AA"/>
    <w:rsid w:val="00F7655A"/>
    <w:rsid w:val="00F77583"/>
    <w:rsid w:val="00F77BCF"/>
    <w:rsid w:val="00F77D31"/>
    <w:rsid w:val="00F82651"/>
    <w:rsid w:val="00F82A7F"/>
    <w:rsid w:val="00F843DE"/>
    <w:rsid w:val="00F849F5"/>
    <w:rsid w:val="00F85BDF"/>
    <w:rsid w:val="00F86AE5"/>
    <w:rsid w:val="00F90837"/>
    <w:rsid w:val="00F92268"/>
    <w:rsid w:val="00FA09E4"/>
    <w:rsid w:val="00FA0E52"/>
    <w:rsid w:val="00FA547A"/>
    <w:rsid w:val="00FA55A3"/>
    <w:rsid w:val="00FA5AD2"/>
    <w:rsid w:val="00FA5D14"/>
    <w:rsid w:val="00FA6E79"/>
    <w:rsid w:val="00FA6EA8"/>
    <w:rsid w:val="00FA7372"/>
    <w:rsid w:val="00FA7992"/>
    <w:rsid w:val="00FB169F"/>
    <w:rsid w:val="00FB21D3"/>
    <w:rsid w:val="00FB3037"/>
    <w:rsid w:val="00FB506C"/>
    <w:rsid w:val="00FB6445"/>
    <w:rsid w:val="00FB71EE"/>
    <w:rsid w:val="00FB7489"/>
    <w:rsid w:val="00FC0A25"/>
    <w:rsid w:val="00FC1D5E"/>
    <w:rsid w:val="00FC2C84"/>
    <w:rsid w:val="00FC3E8F"/>
    <w:rsid w:val="00FC41D3"/>
    <w:rsid w:val="00FC568A"/>
    <w:rsid w:val="00FC57DE"/>
    <w:rsid w:val="00FC61AA"/>
    <w:rsid w:val="00FC769D"/>
    <w:rsid w:val="00FD0D5E"/>
    <w:rsid w:val="00FD1918"/>
    <w:rsid w:val="00FD225F"/>
    <w:rsid w:val="00FD22AE"/>
    <w:rsid w:val="00FD4138"/>
    <w:rsid w:val="00FD42F9"/>
    <w:rsid w:val="00FD4469"/>
    <w:rsid w:val="00FD4942"/>
    <w:rsid w:val="00FD676F"/>
    <w:rsid w:val="00FD7A23"/>
    <w:rsid w:val="00FD7F5E"/>
    <w:rsid w:val="00FE030D"/>
    <w:rsid w:val="00FE166D"/>
    <w:rsid w:val="00FE1BE4"/>
    <w:rsid w:val="00FE27D5"/>
    <w:rsid w:val="00FE3D9A"/>
    <w:rsid w:val="00FE404B"/>
    <w:rsid w:val="00FE6197"/>
    <w:rsid w:val="00FE6814"/>
    <w:rsid w:val="00FE7AFF"/>
    <w:rsid w:val="00FF144F"/>
    <w:rsid w:val="00FF1792"/>
    <w:rsid w:val="00FF38C8"/>
    <w:rsid w:val="00FF4507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2AB8"/>
  <w15:docId w15:val="{D8069A73-3DB0-4123-AF31-E92AC9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Liberation Mono"/>
        <w:sz w:val="22"/>
        <w:szCs w:val="22"/>
        <w:lang w:val="en-US" w:eastAsia="en-US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  <w:rPr>
      <w:rFonts w:cs="Calibri"/>
      <w:color w:val="000000"/>
      <w:sz w:val="24"/>
      <w:szCs w:val="24"/>
      <w:lang w:val="en-GB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mbria" w:hAnsi="Cambria"/>
      <w:color w:val="243F60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"/>
      </w:numPr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Pr>
      <w:rFonts w:ascii="Cambria" w:hAnsi="Cambria"/>
      <w:color w:val="365F91"/>
      <w:sz w:val="32"/>
      <w:szCs w:val="32"/>
      <w:lang w:val="en-GB"/>
    </w:rPr>
  </w:style>
  <w:style w:type="character" w:customStyle="1" w:styleId="Heading2Char">
    <w:name w:val="Heading 2 Char"/>
    <w:basedOn w:val="DefaultParagraphFont"/>
    <w:qFormat/>
    <w:rPr>
      <w:rFonts w:ascii="Cambria" w:hAnsi="Cambria"/>
      <w:color w:val="365F91"/>
      <w:sz w:val="26"/>
      <w:szCs w:val="26"/>
      <w:lang w:val="en-GB"/>
    </w:rPr>
  </w:style>
  <w:style w:type="character" w:customStyle="1" w:styleId="Heading3Char">
    <w:name w:val="Heading 3 Char"/>
    <w:basedOn w:val="DefaultParagraphFont"/>
    <w:qFormat/>
    <w:rPr>
      <w:rFonts w:ascii="Cambria" w:hAnsi="Cambria"/>
      <w:color w:val="243F60"/>
      <w:sz w:val="24"/>
      <w:szCs w:val="24"/>
      <w:lang w:val="en-GB"/>
    </w:rPr>
  </w:style>
  <w:style w:type="character" w:customStyle="1" w:styleId="Heading4Char">
    <w:name w:val="Heading 4 Char"/>
    <w:basedOn w:val="DefaultParagraphFont"/>
    <w:qFormat/>
    <w:rPr>
      <w:rFonts w:ascii="Cambria" w:hAnsi="Cambria"/>
      <w:i/>
      <w:iCs/>
      <w:color w:val="365F91"/>
      <w:lang w:val="en-GB"/>
    </w:rPr>
  </w:style>
  <w:style w:type="character" w:customStyle="1" w:styleId="ListParagraphChar">
    <w:name w:val="List Paragraph Char"/>
    <w:qFormat/>
    <w:rPr>
      <w:lang w:val="en-GB"/>
    </w:rPr>
  </w:style>
  <w:style w:type="character" w:customStyle="1" w:styleId="FootnoteTextChar">
    <w:name w:val="Footnote Text Char"/>
    <w:basedOn w:val="DefaultParagraphFont"/>
    <w:uiPriority w:val="99"/>
    <w:qFormat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character" w:customStyle="1" w:styleId="CommentTextChar">
    <w:name w:val="Comment Text Char"/>
    <w:basedOn w:val="DefaultParagraphFont"/>
    <w:qFormat/>
    <w:rPr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  <w:lang w:val="en-GB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NoSpacingChar">
    <w:name w:val="No Spacing Char"/>
    <w:uiPriority w:val="1"/>
    <w:qFormat/>
    <w:rPr>
      <w:rFonts w:ascii="Calibri" w:eastAsia="Times New Roman" w:hAnsi="Calibri" w:cs="Times New Roman"/>
      <w:sz w:val="21"/>
      <w:szCs w:val="21"/>
    </w:rPr>
  </w:style>
  <w:style w:type="character" w:customStyle="1" w:styleId="HeaderChar">
    <w:name w:val="Header Char"/>
    <w:basedOn w:val="DefaultParagraphFont"/>
    <w:qFormat/>
    <w:rPr>
      <w:lang w:val="en-GB"/>
    </w:rPr>
  </w:style>
  <w:style w:type="character" w:customStyle="1" w:styleId="FooterChar">
    <w:name w:val="Footer Char"/>
    <w:basedOn w:val="DefaultParagraphFont"/>
    <w:uiPriority w:val="99"/>
    <w:qFormat/>
    <w:rPr>
      <w:lang w:val="en-GB"/>
    </w:rPr>
  </w:style>
  <w:style w:type="character" w:customStyle="1" w:styleId="BodyTextIndent3Char">
    <w:name w:val="Body Text Indent 3 Char"/>
    <w:basedOn w:val="DefaultParagraphFont"/>
    <w:qFormat/>
    <w:rPr>
      <w:rFonts w:ascii="Times New Roman" w:eastAsia="Times New Roman" w:hAnsi="Times New Roman" w:cs="Times New Roman"/>
      <w:b/>
      <w:sz w:val="24"/>
      <w:szCs w:val="28"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4F81BD"/>
    </w:rPr>
  </w:style>
  <w:style w:type="character" w:customStyle="1" w:styleId="naslovpropisa1">
    <w:name w:val="naslovpropisa1"/>
    <w:basedOn w:val="DefaultParagraphFont"/>
    <w:qFormat/>
  </w:style>
  <w:style w:type="character" w:customStyle="1" w:styleId="naslovpropisa1a">
    <w:name w:val="naslovpropisa1a"/>
    <w:basedOn w:val="DefaultParagraphFont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pacing w:after="200"/>
    </w:pPr>
    <w:rPr>
      <w:i/>
      <w:iCs/>
      <w:color w:val="1F497D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FootnoteText">
    <w:name w:val="footnote text"/>
    <w:basedOn w:val="Normal"/>
    <w:uiPriority w:val="99"/>
    <w:pPr>
      <w:suppressLineNumbers/>
      <w:ind w:left="283" w:hanging="283"/>
    </w:pPr>
    <w:rPr>
      <w:sz w:val="20"/>
      <w:szCs w:val="20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IndexHeading">
    <w:name w:val="index heading"/>
    <w:basedOn w:val="Heading"/>
    <w:qFormat/>
    <w:pPr>
      <w:suppressLineNumbers/>
    </w:pPr>
    <w:rPr>
      <w:b/>
      <w:bCs/>
      <w:sz w:val="32"/>
      <w:szCs w:val="32"/>
    </w:rPr>
  </w:style>
  <w:style w:type="paragraph" w:styleId="TOAHeading">
    <w:name w:val="toa heading"/>
    <w:basedOn w:val="Heading1"/>
    <w:qFormat/>
    <w:pPr>
      <w:numPr>
        <w:numId w:val="0"/>
      </w:numPr>
      <w:suppressLineNumbers/>
    </w:pPr>
    <w:rPr>
      <w:b/>
      <w:bCs/>
      <w:lang w:val="en-US"/>
    </w:rPr>
  </w:style>
  <w:style w:type="paragraph" w:styleId="TOC1">
    <w:name w:val="toc 1"/>
    <w:basedOn w:val="Normal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pPr>
      <w:tabs>
        <w:tab w:val="right" w:leader="dot" w:pos="9689"/>
      </w:tabs>
      <w:spacing w:after="100"/>
      <w:ind w:left="220"/>
    </w:pPr>
  </w:style>
  <w:style w:type="paragraph" w:styleId="TOC3">
    <w:name w:val="toc 3"/>
    <w:basedOn w:val="Normal"/>
    <w:pPr>
      <w:tabs>
        <w:tab w:val="right" w:leader="dot" w:pos="9406"/>
      </w:tabs>
      <w:spacing w:after="100"/>
      <w:ind w:left="440"/>
    </w:pPr>
  </w:style>
  <w:style w:type="paragraph" w:styleId="NoSpacing">
    <w:name w:val="No Spacing"/>
    <w:uiPriority w:val="1"/>
    <w:qFormat/>
    <w:pPr>
      <w:spacing w:line="240" w:lineRule="auto"/>
    </w:pPr>
    <w:rPr>
      <w:rFonts w:eastAsia="Times New Roman" w:cs="Times New Roman"/>
      <w:sz w:val="21"/>
      <w:szCs w:val="21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uiPriority w:val="99"/>
    <w:pPr>
      <w:suppressLineNumbers/>
      <w:tabs>
        <w:tab w:val="center" w:pos="4513"/>
        <w:tab w:val="right" w:pos="9026"/>
      </w:tabs>
    </w:pPr>
  </w:style>
  <w:style w:type="paragraph" w:styleId="BodyTextIndent3">
    <w:name w:val="Body Text Indent 3"/>
    <w:basedOn w:val="Normal"/>
    <w:qFormat/>
    <w:pPr>
      <w:ind w:firstLine="720"/>
      <w:jc w:val="both"/>
    </w:pPr>
    <w:rPr>
      <w:rFonts w:ascii="Times New Roman" w:eastAsia="Times New Roman" w:hAnsi="Times New Roman" w:cs="Times New Roman"/>
      <w:b/>
      <w:szCs w:val="28"/>
    </w:rPr>
  </w:style>
  <w:style w:type="paragraph" w:customStyle="1" w:styleId="Normal1">
    <w:name w:val="Normal1"/>
    <w:basedOn w:val="Normal"/>
    <w:qFormat/>
    <w:pPr>
      <w:spacing w:before="100" w:after="100"/>
    </w:pPr>
    <w:rPr>
      <w:rFonts w:ascii="Times New Roman" w:eastAsia="Times New Roman" w:hAnsi="Times New Roman" w:cs="Times New Roman"/>
      <w:lang w:val="en-US"/>
    </w:rPr>
  </w:style>
  <w:style w:type="paragraph" w:customStyle="1" w:styleId="podnaslovpropisa">
    <w:name w:val="podnaslovpropisa"/>
    <w:basedOn w:val="Normal"/>
    <w:qFormat/>
    <w:pPr>
      <w:spacing w:before="100" w:after="100"/>
    </w:pPr>
    <w:rPr>
      <w:rFonts w:ascii="Times New Roman" w:eastAsia="Times New Roman" w:hAnsi="Times New Roman" w:cs="Times New Roman"/>
      <w:lang w:val="en-US"/>
    </w:rPr>
  </w:style>
  <w:style w:type="paragraph" w:customStyle="1" w:styleId="Normal2">
    <w:name w:val="Normal2"/>
    <w:basedOn w:val="Normal"/>
    <w:qFormat/>
    <w:pPr>
      <w:spacing w:before="100" w:after="100"/>
    </w:pPr>
    <w:rPr>
      <w:rFonts w:ascii="Times New Roman" w:eastAsia="Times New Roman" w:hAnsi="Times New Roman" w:cs="Times New Roman"/>
      <w:lang w:val="en-US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NormalWeb">
    <w:name w:val="Normal (Web)"/>
    <w:basedOn w:val="Normal"/>
    <w:uiPriority w:val="99"/>
    <w:unhideWhenUsed/>
    <w:rsid w:val="000F057E"/>
    <w:pPr>
      <w:suppressAutoHyphens w:val="0"/>
      <w:spacing w:before="100" w:beforeAutospacing="1" w:after="115"/>
    </w:pPr>
    <w:rPr>
      <w:rFonts w:ascii="Times New Roman" w:eastAsia="Times New Roman" w:hAnsi="Times New Roman" w:cs="Times New Roman"/>
      <w:color w:val="auto"/>
      <w:lang w:val="en-US"/>
    </w:rPr>
  </w:style>
  <w:style w:type="character" w:styleId="Strong">
    <w:name w:val="Strong"/>
    <w:basedOn w:val="DefaultParagraphFont"/>
    <w:uiPriority w:val="22"/>
    <w:qFormat/>
    <w:rsid w:val="004249C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721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5A4C"/>
    <w:rPr>
      <w:color w:val="954F72"/>
      <w:u w:val="single"/>
    </w:rPr>
  </w:style>
  <w:style w:type="paragraph" w:customStyle="1" w:styleId="msonormal0">
    <w:name w:val="msonormal"/>
    <w:basedOn w:val="Normal"/>
    <w:rsid w:val="005D5A4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70">
    <w:name w:val="xl70"/>
    <w:basedOn w:val="Normal"/>
    <w:rsid w:val="005D5A4C"/>
    <w:pPr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71">
    <w:name w:val="xl71"/>
    <w:basedOn w:val="Normal"/>
    <w:rsid w:val="005D5A4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DD7EE"/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72">
    <w:name w:val="xl72"/>
    <w:basedOn w:val="Normal"/>
    <w:rsid w:val="005D5A4C"/>
    <w:pPr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73">
    <w:name w:val="xl73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74">
    <w:name w:val="xl74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75">
    <w:name w:val="xl75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DD7EE"/>
      <w:suppressAutoHyphens w:val="0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76">
    <w:name w:val="xl76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DD7EE"/>
      <w:suppressAutoHyphens w:val="0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77">
    <w:name w:val="xl77"/>
    <w:basedOn w:val="Normal"/>
    <w:rsid w:val="005D5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78">
    <w:name w:val="xl78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79">
    <w:name w:val="xl79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80">
    <w:name w:val="xl80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81">
    <w:name w:val="xl81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82">
    <w:name w:val="xl82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83">
    <w:name w:val="xl83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DD7EE"/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84">
    <w:name w:val="xl84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85">
    <w:name w:val="xl85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86">
    <w:name w:val="xl86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87">
    <w:name w:val="xl87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88">
    <w:name w:val="xl88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89">
    <w:name w:val="xl89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90">
    <w:name w:val="xl90"/>
    <w:basedOn w:val="Normal"/>
    <w:rsid w:val="005D5A4C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BDD7EE"/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91">
    <w:name w:val="xl91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92">
    <w:name w:val="xl92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BDD7EE"/>
      <w:suppressAutoHyphens w:val="0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93">
    <w:name w:val="xl93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auto"/>
      </w:pBdr>
      <w:shd w:val="clear" w:color="000000" w:fill="BDD7EE"/>
      <w:suppressAutoHyphens w:val="0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94">
    <w:name w:val="xl94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95">
    <w:name w:val="xl95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96">
    <w:name w:val="xl96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97">
    <w:name w:val="xl97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98">
    <w:name w:val="xl98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99">
    <w:name w:val="xl99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100">
    <w:name w:val="xl100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101">
    <w:name w:val="xl101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102">
    <w:name w:val="xl102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103">
    <w:name w:val="xl103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104">
    <w:name w:val="xl104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105">
    <w:name w:val="xl105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106">
    <w:name w:val="xl106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107">
    <w:name w:val="xl107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108">
    <w:name w:val="xl108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DD7EE"/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109">
    <w:name w:val="xl109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110">
    <w:name w:val="xl110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111">
    <w:name w:val="xl111"/>
    <w:basedOn w:val="Normal"/>
    <w:rsid w:val="005D5A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112">
    <w:name w:val="xl112"/>
    <w:basedOn w:val="Normal"/>
    <w:rsid w:val="005D5A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113">
    <w:name w:val="xl113"/>
    <w:basedOn w:val="Normal"/>
    <w:rsid w:val="005D5A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uppressAutoHyphens w:val="0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114">
    <w:name w:val="xl114"/>
    <w:basedOn w:val="Normal"/>
    <w:rsid w:val="005D5A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uppressAutoHyphens w:val="0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115">
    <w:name w:val="xl115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00B050"/>
      <w:sz w:val="16"/>
      <w:szCs w:val="16"/>
      <w:lang w:val="en-US"/>
    </w:rPr>
  </w:style>
  <w:style w:type="paragraph" w:customStyle="1" w:styleId="xl116">
    <w:name w:val="xl116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117">
    <w:name w:val="xl117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118">
    <w:name w:val="xl118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FF0000"/>
      <w:sz w:val="16"/>
      <w:szCs w:val="16"/>
      <w:lang w:val="en-US"/>
    </w:rPr>
  </w:style>
  <w:style w:type="paragraph" w:customStyle="1" w:styleId="xl119">
    <w:name w:val="xl119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DD7EE"/>
      <w:suppressAutoHyphens w:val="0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120">
    <w:name w:val="xl120"/>
    <w:basedOn w:val="Normal"/>
    <w:rsid w:val="005D5A4C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121">
    <w:name w:val="xl121"/>
    <w:basedOn w:val="Normal"/>
    <w:rsid w:val="005D5A4C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122">
    <w:name w:val="xl122"/>
    <w:basedOn w:val="Normal"/>
    <w:rsid w:val="005D5A4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123">
    <w:name w:val="xl123"/>
    <w:basedOn w:val="Normal"/>
    <w:rsid w:val="005D5A4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124">
    <w:name w:val="xl124"/>
    <w:basedOn w:val="Normal"/>
    <w:rsid w:val="005D5A4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125">
    <w:name w:val="xl125"/>
    <w:basedOn w:val="Normal"/>
    <w:rsid w:val="005D5A4C"/>
    <w:pPr>
      <w:pBdr>
        <w:top w:val="single" w:sz="8" w:space="0" w:color="000000"/>
        <w:bottom w:val="single" w:sz="8" w:space="0" w:color="000000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126">
    <w:name w:val="xl126"/>
    <w:basedOn w:val="Normal"/>
    <w:rsid w:val="005D5A4C"/>
    <w:pPr>
      <w:pBdr>
        <w:top w:val="single" w:sz="8" w:space="0" w:color="000000"/>
        <w:left w:val="single" w:sz="8" w:space="0" w:color="000000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127">
    <w:name w:val="xl127"/>
    <w:basedOn w:val="Normal"/>
    <w:rsid w:val="005D5A4C"/>
    <w:pPr>
      <w:pBdr>
        <w:left w:val="single" w:sz="8" w:space="0" w:color="000000"/>
        <w:bottom w:val="single" w:sz="8" w:space="0" w:color="000000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6"/>
      <w:szCs w:val="16"/>
      <w:lang w:val="en-US"/>
    </w:rPr>
  </w:style>
  <w:style w:type="paragraph" w:customStyle="1" w:styleId="xl128">
    <w:name w:val="xl128"/>
    <w:basedOn w:val="Normal"/>
    <w:rsid w:val="005D5A4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paragraph" w:customStyle="1" w:styleId="xl129">
    <w:name w:val="xl129"/>
    <w:basedOn w:val="Normal"/>
    <w:rsid w:val="005D5A4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account-name">
    <w:name w:val="account-name"/>
    <w:basedOn w:val="DefaultParagraphFont"/>
    <w:rsid w:val="004E6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nacrtbudzeta@smederevskapalanka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7" ma:contentTypeDescription="Create a new document." ma:contentTypeScope="" ma:versionID="b057ce890c6bf22c7028cd7d4e750a7c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ce3c177fecc9f449dd21f2f4ace0fa24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09AD4-2358-4AAD-BBD3-3217EB6532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72F376-4982-44E1-BCED-7696C7623209}"/>
</file>

<file path=customXml/itemProps3.xml><?xml version="1.0" encoding="utf-8"?>
<ds:datastoreItem xmlns:ds="http://schemas.openxmlformats.org/officeDocument/2006/customXml" ds:itemID="{7381349D-1651-46ED-8ECB-B67B9692F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35</Pages>
  <Words>11027</Words>
  <Characters>62857</Characters>
  <Application>Microsoft Office Word</Application>
  <DocSecurity>0</DocSecurity>
  <Lines>523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domonkos</dc:creator>
  <cp:lastModifiedBy>Tibor Domonkos</cp:lastModifiedBy>
  <cp:revision>272</cp:revision>
  <cp:lastPrinted>2023-01-22T16:34:00Z</cp:lastPrinted>
  <dcterms:created xsi:type="dcterms:W3CDTF">2023-01-22T08:16:00Z</dcterms:created>
  <dcterms:modified xsi:type="dcterms:W3CDTF">2023-01-22T18:36:00Z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2022-02-26T13:49:00Z</dcterms:created>
  <dc:creator>Tibor</dc:creator>
  <dc:description/>
  <dc:language>en-US</dc:language>
  <cp:lastModifiedBy/>
  <cp:lastPrinted>2022-02-22T15:21:00Z</cp:lastPrinted>
  <dcterms:modified xsi:type="dcterms:W3CDTF">2022-03-05T14:44:58Z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