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4B" w:rsidRPr="00D6604B" w:rsidRDefault="00D6604B" w:rsidP="00D6604B">
      <w:pPr>
        <w:shd w:val="clear" w:color="auto" w:fill="FFFFFF"/>
        <w:spacing w:after="375" w:line="240" w:lineRule="auto"/>
        <w:outlineLvl w:val="3"/>
        <w:rPr>
          <w:rFonts w:ascii="Segoe UI" w:eastAsia="Times New Roman" w:hAnsi="Segoe UI" w:cs="Segoe UI"/>
          <w:caps/>
          <w:color w:val="212529"/>
          <w:sz w:val="24"/>
          <w:szCs w:val="24"/>
          <w:lang w:eastAsia="en-GB"/>
        </w:rPr>
      </w:pPr>
      <w:r w:rsidRPr="00D6604B">
        <w:rPr>
          <w:rFonts w:ascii="Segoe UI" w:eastAsia="Times New Roman" w:hAnsi="Segoe UI" w:cs="Segoe UI"/>
          <w:caps/>
          <w:color w:val="212529"/>
          <w:sz w:val="24"/>
          <w:szCs w:val="24"/>
          <w:lang w:eastAsia="en-GB"/>
        </w:rPr>
        <w:t>ЈАВНИ ПОЗИВ ЗА ПРИЈАВЉИВАЊЕ КАНДИДАТА ЗА ПОПИСИВАЧЕ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Заинтересовани</w:t>
      </w:r>
      <w:proofErr w:type="spellEnd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кандидати</w:t>
      </w:r>
      <w:proofErr w:type="spellEnd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могу</w:t>
      </w:r>
      <w:proofErr w:type="spellEnd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пријавити</w:t>
      </w:r>
      <w:proofErr w:type="spellEnd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A503A"/>
          <w:sz w:val="23"/>
          <w:szCs w:val="23"/>
          <w:lang w:eastAsia="en-GB"/>
        </w:rPr>
        <w:t>попуњавањем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begin"/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instrText xml:space="preserve"> HYPERLINK "https://pod2.stat.gov.rs/PrijavaPopisPoljPOP/Prijava/PPP" </w:instrTex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separate"/>
      </w:r>
      <w:r w:rsidRPr="00D6604B">
        <w:rPr>
          <w:rFonts w:ascii="Segoe UI" w:eastAsia="Times New Roman" w:hAnsi="Segoe UI" w:cs="Segoe UI"/>
          <w:color w:val="007BFF"/>
          <w:sz w:val="23"/>
          <w:szCs w:val="23"/>
          <w:u w:val="single"/>
          <w:lang w:eastAsia="en-GB"/>
        </w:rPr>
        <w:t>електронске</w:t>
      </w:r>
      <w:proofErr w:type="spellEnd"/>
      <w:r w:rsidRPr="00D6604B">
        <w:rPr>
          <w:rFonts w:ascii="Segoe UI" w:eastAsia="Times New Roman" w:hAnsi="Segoe UI" w:cs="Segoe UI"/>
          <w:color w:val="007BFF"/>
          <w:sz w:val="23"/>
          <w:szCs w:val="23"/>
          <w:u w:val="single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007BFF"/>
          <w:sz w:val="23"/>
          <w:szCs w:val="23"/>
          <w:u w:val="single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end"/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15.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8.00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часова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21.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20.00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часова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Републички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завод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статистику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основу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Закона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Попису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(„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Службени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гласник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РС”,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бр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. 76/21), </w: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GRANT CONTRACT − EXTERNAL ACTIONS OF THE EUROPEAN UNION − 2019/408-825 – EU for Development of Statistics in Serbia, IPA 2018 National Programme,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закљученог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22.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јула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2019.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између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Европске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уније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Делегације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Европске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уније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Републици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Србији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Републичког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статистику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03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404-701,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Закона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државним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службеницима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(„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Службени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гласник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РС”,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 79/</w:t>
      </w:r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05,  81</w:t>
      </w:r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/05,  83/05,  64/07,  67/07, 116/08, 104/09, 99/14, 94/17, 95/18 и 157/20),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Закона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запосленима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аутономним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покрајинама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јединицама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локалне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самоуправе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(„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Службени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гласник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РС”,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 21/16, 113/</w:t>
      </w:r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17 ,</w:t>
      </w:r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113/17-I -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други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закон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95/18 и 114/21)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Закона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(„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Службени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гласник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РС“,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. 24/05, 61/05, 54/09, 32/13, 75/14, 13/17 –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одлука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УС РС, 113/17 и 95/18 –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аутентично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тумачење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),</w:t>
      </w: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објављује</w:t>
      </w:r>
      <w:proofErr w:type="spellEnd"/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ЈАВНИ ПОЗИВ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center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ЗА ПРИЈАВЉИВАЊЕ КАНДИДАТА ЗА ПОПИСИВАЧЕ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пријављивање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периоду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15.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21.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20.00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часова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Републички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статистику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даљем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тексту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: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упућује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јавни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позив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заинтересованим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посао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пописивача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потребе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спровођења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Пописа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</w: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(у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даљем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тексту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: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спроводи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периоду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1.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октобра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15.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децембра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Пописивачи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имају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обавезу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почетка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присуствују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петодневној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обуци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савладају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методологију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апликацији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прикупљање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података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1.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октобра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15.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децембра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дужни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попишу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јединице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газдинства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додељеном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Адресару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газдинстава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, 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користећи</w:t>
      </w:r>
      <w:proofErr w:type="spellEnd"/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лаптоп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унос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података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електронске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упитнике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потребе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спровођења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биће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ангажовано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2842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пописивача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територије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следећих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: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Александровац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Алексинац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Алибунар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Апатин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Аранђеловац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Ариље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Бабушница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Бајина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Башта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Барајево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Баточина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Бач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Бачка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Паланка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Бачка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Топола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Бачки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Петровац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Паланка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Црква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Беочин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Бечеј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Блаце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Богатић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Бојник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Бољевац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Босилеград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Брус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Бујановац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Ваљево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(42),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Варварин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Велика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Плана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Велико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Владимирци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Владичин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Хан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Власотинце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Вождовац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–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lastRenderedPageBreak/>
        <w:t xml:space="preserve">(30),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Врањска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Врачар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Врбас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Врњачка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Вршац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Гаџин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Хан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Голубац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Горњи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Милановац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Гроцка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Деспотовац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Димитровград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Дољевац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Жабаљ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Жабари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Жагубица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Житиште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Житорађа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Зајечар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Звездара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Земун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Зрењанин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Ивањица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Инђија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Ириг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Јагодина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Кањижа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Кикинда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Кладово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Кнић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Књажевац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Ковачица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Ковин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Косјерић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Костолац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(3), 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Коцељева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Крагујевац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(42),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Краљево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Крупањ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Крушевац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Кула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Куршумлија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Кучево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Лазаревац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Лајковац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Лапово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(3), 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Лебане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Лесковац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Лозница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Лучани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Љиг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Љубовија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Мајданпек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Мали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Зворник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Мали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Иђош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Мало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Црниће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Медвеђа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Медијана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Мерошина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Мионица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Младеновац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Неготин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Нишка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Варош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Црња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Београд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Бечеј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Кнежевац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Пазар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Нови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Обреновац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Опово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Осечина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Оџаци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Палилула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Београд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Палилула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Пантелеј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Панчево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Параћин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Петровац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Млави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Пећинци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Пирот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Пландиште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Пожаревац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Пожега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Прешево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Прибој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Пријепоље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Прокупље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Ражањ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Раковица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Рача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Рашка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Рековац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Рума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Савски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венац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Свилајнац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Сврљиг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Севојно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Сента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Сечањ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Сјеница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Смедерево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Смедеревска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Паланка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Сокобања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Сомбор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(41),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Сопот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Србобран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Сремска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Митровица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(35),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Сремски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Карловци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Стара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Пазова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Суботица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Сурдулица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Сурчин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Темерин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Тител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Топола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(17),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Трговиште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(9),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Трстеник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Тутин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Ћићевац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(6),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Ћуприја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Уб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(24),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Ужице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(33),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Црна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Трава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Црвени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крст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Ниш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(13),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Чајетина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Чачак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(50),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Чока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(8),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Чукарица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(11),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Шабац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(53)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Шид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(20).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Број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ограничен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Период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ангажовања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:</w:t>
      </w: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01.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октобра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22.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децембра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Напомена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:</w: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време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обиласка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терена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током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теренске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реализације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прерасподела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времена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врши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складу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Планом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активности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може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укључивати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викендом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Општи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услови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које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кандидат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треба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испуни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:</w:t>
      </w:r>
    </w:p>
    <w:p w:rsidR="00D6604B" w:rsidRPr="00D6604B" w:rsidRDefault="00D6604B" w:rsidP="00D660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држављанство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Републике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Србије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пребивалиште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пријављено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боравиште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Републици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Србији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најмање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18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старости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тренутку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попуњавања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стечено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најмање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трогодишње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средње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образовање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1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осуђиван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против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покренута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истрага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против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њега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води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кривични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поступак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lastRenderedPageBreak/>
        <w:t>Подразумева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познавање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рада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рачунару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(MS Office,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интернет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) и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могућност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приступа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интернету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током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периода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ангажовања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Критеријуми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избор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:</w:t>
      </w:r>
    </w:p>
    <w:p w:rsidR="00D6604B" w:rsidRPr="00D6604B" w:rsidRDefault="00D6604B" w:rsidP="00D6604B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стручна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спрема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образовања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статус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2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учествовање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становништва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домаћинстава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2022.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статистичким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акцијама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2012,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Истраживање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структури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газдинстава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2018.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редовна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статистичка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истраживања</w:t>
      </w:r>
      <w:proofErr w:type="spellEnd"/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последњих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5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Предност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избору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имаће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:</w:t>
      </w:r>
    </w:p>
    <w:p w:rsidR="00D6604B" w:rsidRPr="00D6604B" w:rsidRDefault="00D6604B" w:rsidP="00D6604B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поседују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диплому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стеченом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образовању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;</w:t>
      </w:r>
    </w:p>
    <w:p w:rsidR="00D6604B" w:rsidRPr="00D6604B" w:rsidRDefault="00D6604B" w:rsidP="00D6604B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учествовали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становништва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домаћинстава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2022.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статистичким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акцијама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2012,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Истраживање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структури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газдинстава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2018.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редовна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статистичка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истраживања</w:t>
      </w:r>
      <w:proofErr w:type="spellEnd"/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области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 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последњих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5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година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);</w:t>
      </w:r>
    </w:p>
    <w:p w:rsidR="00D6604B" w:rsidRPr="00D6604B" w:rsidRDefault="00D6604B" w:rsidP="00D6604B">
      <w:pPr>
        <w:numPr>
          <w:ilvl w:val="0"/>
          <w:numId w:val="3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имају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могућност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коришћења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сопственог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возила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изабраним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зависности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њиховог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статуса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закључује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:</w:t>
      </w:r>
    </w:p>
    <w:p w:rsidR="00D6604B" w:rsidRPr="00D6604B" w:rsidRDefault="00D6604B" w:rsidP="00D6604B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Уговор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привременим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повременим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пословима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незапослена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запослена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непуним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временом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,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старосни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пензионери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ангажована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основу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Уговора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обављању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привремених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повремених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послова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највише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30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другог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послодавца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)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</w:p>
    <w:p w:rsidR="00D6604B" w:rsidRPr="00D6604B" w:rsidRDefault="00D6604B" w:rsidP="00D6604B">
      <w:pPr>
        <w:numPr>
          <w:ilvl w:val="0"/>
          <w:numId w:val="4"/>
        </w:numPr>
        <w:shd w:val="clear" w:color="auto" w:fill="FFFFFF"/>
        <w:spacing w:after="0" w:line="240" w:lineRule="auto"/>
        <w:ind w:left="1320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Уговор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о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допунском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proofErr w:type="gram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раду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(</w:t>
      </w:r>
      <w:proofErr w:type="spellStart"/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запослена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пуним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временом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другог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послодавца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)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ВАЖНА НАПОМЕНА: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одговоран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евентуални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губитак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промену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права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ангажованог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лица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може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доћи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услед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промене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његовог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радноправног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статуса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остваривања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накнаде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нпр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: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обустављање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исплате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породичне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пензије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промена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основа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Централном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регистру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обавезног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социјалног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осигурања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накнаде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случај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незапослености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учешће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програмима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стручног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усавршавања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програма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„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прва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proofErr w:type="gram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плата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“ и</w:t>
      </w:r>
      <w:proofErr w:type="gram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.). 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lastRenderedPageBreak/>
        <w:t>Кандидати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могу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пријавити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само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територији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/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имају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пријављено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пребивалиште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боравиште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Изузетно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: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ангажовани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станицама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саветодавних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стручних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(ПССС), и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ангажовани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другим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службама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вези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пољопривредом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станују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једној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а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другој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могу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конкуришу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својству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пописивача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;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студенти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школују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ван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места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становања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могу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рад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својству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пописивача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својој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/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/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граду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у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привремено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живе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током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студија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пријављују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искључиво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попуњавањем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електронске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која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ће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бити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активна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уторка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15.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од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тренутка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објављивања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јавног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позива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)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понедељка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21.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(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до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20.00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часова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).</w:t>
      </w:r>
    </w:p>
    <w:p w:rsidR="00D6604B" w:rsidRPr="00D6604B" w:rsidRDefault="00D6604B" w:rsidP="00D660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Кандидати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ће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бити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рангирани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основу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податка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из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о </w:t>
      </w:r>
      <w:proofErr w:type="spellStart"/>
      <w:proofErr w:type="gram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општини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 у</w:t>
      </w:r>
      <w:proofErr w:type="gram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којем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имају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пријављено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пребивалиште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или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боравиште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и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остварених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бодова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може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попуни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само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u w:val="single"/>
          <w:lang w:eastAsia="en-GB"/>
        </w:rPr>
        <w:t>једну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пријаву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попуњавања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електронске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обавезно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прочитати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begin"/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instrText xml:space="preserve"> HYPERLINK "https://popispoljoprivrede.stat.gov.rs/media/30988/procedura-za-izbor-popisivaca_cir.pdf" </w:instrTex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separate"/>
      </w:r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>Процедуру</w:t>
      </w:r>
      <w:proofErr w:type="spellEnd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>избор</w:t>
      </w:r>
      <w:proofErr w:type="spellEnd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>пописивача</w:t>
      </w:r>
      <w:proofErr w:type="spellEnd"/>
      <w:r w:rsidRPr="00D6604B">
        <w:rPr>
          <w:rFonts w:ascii="Segoe UI" w:eastAsia="Times New Roman" w:hAnsi="Segoe UI" w:cs="Segoe UI"/>
          <w:b/>
          <w:bCs/>
          <w:i/>
          <w:iCs/>
          <w:color w:val="007BFF"/>
          <w:sz w:val="23"/>
          <w:szCs w:val="23"/>
          <w:lang w:eastAsia="en-GB"/>
        </w:rPr>
        <w:t>.</w: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end"/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Попуњавање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begin"/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instrText xml:space="preserve"> HYPERLINK "https://pod2.stat.gov.rs/PrijavaPopisPoljPOP/Prijava/PPP" \t "_blank" </w:instrText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separate"/>
      </w:r>
      <w:r w:rsidRPr="00D6604B">
        <w:rPr>
          <w:rFonts w:ascii="Segoe UI" w:eastAsia="Times New Roman" w:hAnsi="Segoe UI" w:cs="Segoe UI"/>
          <w:b/>
          <w:bCs/>
          <w:color w:val="007BFF"/>
          <w:sz w:val="23"/>
          <w:szCs w:val="23"/>
          <w:lang w:eastAsia="en-GB"/>
        </w:rPr>
        <w:t>електронске</w:t>
      </w:r>
      <w:proofErr w:type="spellEnd"/>
      <w:r w:rsidRPr="00D6604B">
        <w:rPr>
          <w:rFonts w:ascii="Segoe UI" w:eastAsia="Times New Roman" w:hAnsi="Segoe UI" w:cs="Segoe UI"/>
          <w:b/>
          <w:bCs/>
          <w:color w:val="007BFF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b/>
          <w:bCs/>
          <w:color w:val="007BFF"/>
          <w:sz w:val="23"/>
          <w:szCs w:val="23"/>
          <w:lang w:eastAsia="en-GB"/>
        </w:rPr>
        <w:t>пријаве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fldChar w:fldCharType="end"/>
      </w:r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D6604B" w:rsidRPr="00D6604B" w:rsidRDefault="00D6604B" w:rsidP="00D6604B">
      <w:pPr>
        <w:shd w:val="clear" w:color="auto" w:fill="FFFFFF"/>
        <w:spacing w:beforeAutospacing="1" w:after="0" w:afterAutospacing="1" w:line="240" w:lineRule="auto"/>
        <w:jc w:val="both"/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</w:pP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Ранг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листа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пријављених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кандидата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пописиваче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по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општинама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,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објављује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се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22.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августа</w:t>
      </w:r>
      <w:proofErr w:type="spellEnd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 xml:space="preserve"> 2023. </w:t>
      </w:r>
      <w:proofErr w:type="spellStart"/>
      <w:r w:rsidRPr="00D6604B">
        <w:rPr>
          <w:rFonts w:ascii="Segoe UI" w:eastAsia="Times New Roman" w:hAnsi="Segoe UI" w:cs="Segoe UI"/>
          <w:b/>
          <w:bCs/>
          <w:color w:val="98513B"/>
          <w:sz w:val="23"/>
          <w:szCs w:val="23"/>
          <w:lang w:eastAsia="en-GB"/>
        </w:rPr>
        <w:t>године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на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веб-сајтовима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</w:t>
      </w:r>
      <w:proofErr w:type="spellStart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Завода</w:t>
      </w:r>
      <w:proofErr w:type="spellEnd"/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 xml:space="preserve">  </w:t>
      </w:r>
      <w:hyperlink r:id="rId5" w:history="1">
        <w:r w:rsidRPr="00D6604B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en-GB"/>
          </w:rPr>
          <w:t>stat.gov.rs</w:t>
        </w:r>
      </w:hyperlink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 и  </w:t>
      </w:r>
      <w:hyperlink r:id="rId6" w:history="1">
        <w:r w:rsidRPr="00D6604B">
          <w:rPr>
            <w:rFonts w:ascii="Segoe UI" w:eastAsia="Times New Roman" w:hAnsi="Segoe UI" w:cs="Segoe UI"/>
            <w:color w:val="007BFF"/>
            <w:sz w:val="23"/>
            <w:szCs w:val="23"/>
            <w:u w:val="single"/>
            <w:lang w:eastAsia="en-GB"/>
          </w:rPr>
          <w:t>popispoljoprivrede.stat.gov.rs</w:t>
        </w:r>
      </w:hyperlink>
      <w:r w:rsidRPr="00D6604B">
        <w:rPr>
          <w:rFonts w:ascii="Segoe UI" w:eastAsia="Times New Roman" w:hAnsi="Segoe UI" w:cs="Segoe UI"/>
          <w:color w:val="98513B"/>
          <w:sz w:val="23"/>
          <w:szCs w:val="23"/>
          <w:lang w:eastAsia="en-GB"/>
        </w:rPr>
        <w:t>.</w:t>
      </w:r>
    </w:p>
    <w:p w:rsidR="00E04566" w:rsidRDefault="00E04566">
      <w:bookmarkStart w:id="0" w:name="_GoBack"/>
      <w:bookmarkEnd w:id="0"/>
    </w:p>
    <w:sectPr w:rsidR="00E04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F7A"/>
    <w:multiLevelType w:val="multilevel"/>
    <w:tmpl w:val="DBFA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E6D39"/>
    <w:multiLevelType w:val="multilevel"/>
    <w:tmpl w:val="FC02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33DB0"/>
    <w:multiLevelType w:val="multilevel"/>
    <w:tmpl w:val="9194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314CB"/>
    <w:multiLevelType w:val="multilevel"/>
    <w:tmpl w:val="B4CA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4B"/>
    <w:rsid w:val="00D6604B"/>
    <w:rsid w:val="00E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E247B-C01A-4A01-90EC-68EC0408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60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6604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66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60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6604B"/>
    <w:rPr>
      <w:b/>
      <w:bCs/>
    </w:rPr>
  </w:style>
  <w:style w:type="character" w:styleId="Emphasis">
    <w:name w:val="Emphasis"/>
    <w:basedOn w:val="DefaultParagraphFont"/>
    <w:uiPriority w:val="20"/>
    <w:qFormat/>
    <w:rsid w:val="00D66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pispoljoprivrede.stat.gov.rs/" TargetMode="External"/><Relationship Id="rId5" Type="http://schemas.openxmlformats.org/officeDocument/2006/relationships/hyperlink" Target="https://www.stat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2023-08-15T12:01:00Z</dcterms:created>
  <dcterms:modified xsi:type="dcterms:W3CDTF">2023-08-15T12:02:00Z</dcterms:modified>
</cp:coreProperties>
</file>